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BA4C" w14:textId="77777777" w:rsidR="00EB459A" w:rsidRDefault="00632157">
      <w:pPr>
        <w:pStyle w:val="BodyText"/>
        <w:ind w:left="1771"/>
        <w:rPr>
          <w:sz w:val="20"/>
        </w:rPr>
      </w:pPr>
      <w:r>
        <w:rPr>
          <w:rFonts w:ascii="Gadugi" w:eastAsia="Gadugi" w:hAnsi="Gadugi" w:cs="Gadugi"/>
          <w:noProof/>
          <w:sz w:val="20"/>
          <w:lang w:val="fr-CA" w:bidi="fr-CA"/>
        </w:rPr>
        <w:drawing>
          <wp:inline distT="0" distB="0" distL="0" distR="0" wp14:anchorId="782A2742" wp14:editId="04310B36">
            <wp:extent cx="3845674"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45674" cy="914400"/>
                    </a:xfrm>
                    <a:prstGeom prst="rect">
                      <a:avLst/>
                    </a:prstGeom>
                  </pic:spPr>
                </pic:pic>
              </a:graphicData>
            </a:graphic>
          </wp:inline>
        </w:drawing>
      </w:r>
    </w:p>
    <w:p w14:paraId="5ACE0B75" w14:textId="77777777" w:rsidR="00EB459A" w:rsidRDefault="00EB459A">
      <w:pPr>
        <w:pStyle w:val="BodyText"/>
        <w:spacing w:before="5"/>
        <w:rPr>
          <w:sz w:val="28"/>
        </w:rPr>
      </w:pPr>
    </w:p>
    <w:p w14:paraId="2D9A6C95" w14:textId="55989379" w:rsidR="00EB459A" w:rsidRDefault="00223EC0" w:rsidP="00200CFE">
      <w:pPr>
        <w:spacing w:before="94"/>
        <w:ind w:right="360"/>
        <w:jc w:val="right"/>
        <w:rPr>
          <w:rFonts w:ascii="Arial"/>
        </w:rPr>
      </w:pPr>
      <w:bookmarkStart w:id="0" w:name="Transmittal_letter_to_Minister_Responsib"/>
      <w:bookmarkEnd w:id="0"/>
      <w:r w:rsidRPr="00D34D58">
        <w:rPr>
          <w:rFonts w:ascii="Gadugi" w:eastAsia="Gadugi" w:hAnsi="Gadugi" w:cs="Gadugi"/>
          <w:lang w:val="fr-CA" w:bidi="fr-CA"/>
        </w:rPr>
        <w:t>Le 18 décembre 2023</w:t>
      </w:r>
    </w:p>
    <w:p w14:paraId="18446B3F" w14:textId="77777777" w:rsidR="00EB459A" w:rsidRDefault="00EB459A">
      <w:pPr>
        <w:pStyle w:val="BodyText"/>
        <w:rPr>
          <w:rFonts w:ascii="Arial"/>
          <w:sz w:val="20"/>
        </w:rPr>
      </w:pPr>
    </w:p>
    <w:p w14:paraId="71C660E3" w14:textId="77777777" w:rsidR="00EB459A" w:rsidRDefault="00EB459A">
      <w:pPr>
        <w:pStyle w:val="BodyText"/>
        <w:rPr>
          <w:rFonts w:ascii="Arial"/>
          <w:sz w:val="20"/>
        </w:rPr>
      </w:pPr>
    </w:p>
    <w:p w14:paraId="627FE770" w14:textId="5CE74B73" w:rsidR="00EB459A" w:rsidRDefault="00632157" w:rsidP="00F56135">
      <w:pPr>
        <w:pStyle w:val="BodyText"/>
        <w:spacing w:before="92"/>
        <w:rPr>
          <w:rFonts w:ascii="Arial"/>
        </w:rPr>
      </w:pPr>
      <w:r>
        <w:rPr>
          <w:rFonts w:ascii="Gadugi" w:eastAsia="Gadugi" w:hAnsi="Gadugi" w:cs="Gadugi"/>
          <w:lang w:val="fr-CA" w:bidi="fr-CA"/>
        </w:rPr>
        <w:t>L’honorable Joelie Kaernerk</w:t>
      </w:r>
    </w:p>
    <w:p w14:paraId="4003020A" w14:textId="20F077A6" w:rsidR="003F79FA" w:rsidRDefault="00632157" w:rsidP="00D85A30">
      <w:pPr>
        <w:pStyle w:val="BodyText"/>
        <w:ind w:right="3420"/>
        <w:rPr>
          <w:rFonts w:ascii="Arial"/>
        </w:rPr>
      </w:pPr>
      <w:r>
        <w:rPr>
          <w:rFonts w:ascii="Gadugi" w:eastAsia="Gadugi" w:hAnsi="Gadugi" w:cs="Gadugi"/>
          <w:lang w:val="fr-CA" w:bidi="fr-CA"/>
        </w:rPr>
        <w:t>Ministre responsable de la Société d’énergie Qulliq</w:t>
      </w:r>
    </w:p>
    <w:p w14:paraId="5FDEA102" w14:textId="5A112B23" w:rsidR="00EB459A" w:rsidRDefault="00632157" w:rsidP="00F56135">
      <w:pPr>
        <w:pStyle w:val="BodyText"/>
        <w:ind w:right="3677"/>
        <w:rPr>
          <w:rFonts w:ascii="Arial"/>
        </w:rPr>
      </w:pPr>
      <w:r>
        <w:rPr>
          <w:rFonts w:ascii="Gadugi" w:eastAsia="Gadugi" w:hAnsi="Gadugi" w:cs="Gadugi"/>
          <w:lang w:val="fr-CA" w:bidi="fr-CA"/>
        </w:rPr>
        <w:t>Assemblée législative du Nunavut</w:t>
      </w:r>
    </w:p>
    <w:p w14:paraId="2F94E04D" w14:textId="5FB0C7BD" w:rsidR="00F56135" w:rsidRDefault="00632157" w:rsidP="003F79FA">
      <w:pPr>
        <w:pStyle w:val="BodyText"/>
        <w:rPr>
          <w:rFonts w:ascii="Arial"/>
          <w:lang w:val="fr-CA"/>
        </w:rPr>
      </w:pPr>
      <w:r w:rsidRPr="00C622A2">
        <w:rPr>
          <w:rFonts w:ascii="Gadugi" w:eastAsia="Gadugi" w:hAnsi="Gadugi" w:cs="Gadugi"/>
          <w:lang w:val="fr-CA" w:bidi="fr-CA"/>
        </w:rPr>
        <w:t>C.P. 2410</w:t>
      </w:r>
    </w:p>
    <w:p w14:paraId="7AD3A416" w14:textId="62A09404" w:rsidR="00EB459A" w:rsidRPr="00C622A2" w:rsidRDefault="00632157" w:rsidP="00BA7C99">
      <w:pPr>
        <w:pStyle w:val="BodyText"/>
        <w:rPr>
          <w:rFonts w:ascii="Arial"/>
          <w:lang w:val="fr-CA"/>
        </w:rPr>
      </w:pPr>
      <w:r w:rsidRPr="00C622A2">
        <w:rPr>
          <w:rFonts w:ascii="Gadugi" w:eastAsia="Gadugi" w:hAnsi="Gadugi" w:cs="Gadugi"/>
          <w:lang w:val="fr-CA" w:bidi="fr-CA"/>
        </w:rPr>
        <w:t>Iqaluit (NU)  X0A 0H0</w:t>
      </w:r>
    </w:p>
    <w:p w14:paraId="244AE272" w14:textId="77777777" w:rsidR="00EB459A" w:rsidRPr="00C622A2" w:rsidRDefault="00EB459A" w:rsidP="00F56135">
      <w:pPr>
        <w:pStyle w:val="BodyText"/>
        <w:rPr>
          <w:rFonts w:ascii="Arial"/>
          <w:sz w:val="26"/>
          <w:lang w:val="fr-CA"/>
        </w:rPr>
      </w:pPr>
    </w:p>
    <w:p w14:paraId="47B4C6B9" w14:textId="7C365B4A" w:rsidR="00EB459A" w:rsidRDefault="00632157" w:rsidP="00F56135">
      <w:pPr>
        <w:pStyle w:val="BodyText"/>
        <w:spacing w:before="1"/>
        <w:rPr>
          <w:rFonts w:ascii="Arial"/>
        </w:rPr>
      </w:pPr>
      <w:r>
        <w:rPr>
          <w:rFonts w:ascii="Gadugi" w:eastAsia="Gadugi" w:hAnsi="Gadugi" w:cs="Gadugi"/>
          <w:lang w:val="fr-CA" w:bidi="fr-CA"/>
        </w:rPr>
        <w:t>Monsieur le ministre Kaernerk,</w:t>
      </w:r>
    </w:p>
    <w:p w14:paraId="7D387C8C" w14:textId="77777777" w:rsidR="00EB459A" w:rsidRDefault="00EB459A" w:rsidP="00F56135">
      <w:pPr>
        <w:pStyle w:val="BodyText"/>
        <w:spacing w:before="11"/>
        <w:rPr>
          <w:rFonts w:ascii="Arial"/>
          <w:sz w:val="23"/>
        </w:rPr>
      </w:pPr>
    </w:p>
    <w:p w14:paraId="66C9C6CF" w14:textId="6CCED5A6" w:rsidR="00FF0B68" w:rsidRDefault="00FF0B68" w:rsidP="003F79FA">
      <w:pPr>
        <w:pStyle w:val="BodyText"/>
        <w:ind w:right="80"/>
        <w:rPr>
          <w:rFonts w:ascii="Arial" w:hAnsi="Arial"/>
          <w:iCs/>
        </w:rPr>
      </w:pPr>
      <w:r>
        <w:rPr>
          <w:rFonts w:ascii="Gadugi" w:eastAsia="Gadugi" w:hAnsi="Gadugi" w:cs="Gadugi"/>
          <w:lang w:val="fr-CA" w:bidi="fr-CA"/>
        </w:rPr>
        <w:t>Objet : Demande de modification du tarif d’électricité de base</w:t>
      </w:r>
    </w:p>
    <w:p w14:paraId="65DCE517" w14:textId="77777777" w:rsidR="00FF0B68" w:rsidRDefault="00FF0B68" w:rsidP="003F79FA">
      <w:pPr>
        <w:pStyle w:val="BodyText"/>
        <w:ind w:right="80"/>
        <w:rPr>
          <w:rFonts w:ascii="Arial" w:hAnsi="Arial"/>
          <w:iCs/>
        </w:rPr>
      </w:pPr>
    </w:p>
    <w:p w14:paraId="2DBEB702" w14:textId="7B6E2C10" w:rsidR="00EB459A" w:rsidRPr="00CA103B" w:rsidRDefault="00CA103B" w:rsidP="002B0485">
      <w:pPr>
        <w:pStyle w:val="BodyText"/>
        <w:ind w:right="80"/>
        <w:jc w:val="both"/>
        <w:rPr>
          <w:rFonts w:ascii="Arial" w:hAnsi="Arial"/>
          <w:iCs/>
        </w:rPr>
      </w:pPr>
      <w:r w:rsidRPr="00CA103B">
        <w:rPr>
          <w:rFonts w:ascii="Gadugi" w:eastAsia="Gadugi" w:hAnsi="Gadugi" w:cs="Gadugi"/>
          <w:lang w:val="fr-CA" w:bidi="fr-CA"/>
        </w:rPr>
        <w:t>Concernant la demande de modification du tarif d'électricité de base de la Société d'énergie Qulliq et votre requête en vue d'une révision de la demande, toutes deux datées du 5 octobre 2023, nous tenons à préciser que le Conseil d'examen des taux des entreprises de service au Nunavut (CETES) a commencé son examen de ces demandes le 18 octobre 2023, date à laquelle elles ont été déposées auprès du CETES. Veuillez trouver ci-joint le rapport 2023-03 qui résume les réflexions du CETES à ce sujet. Le CETES recommande que les taux proposés soient finalisés et appliqués en remplacement des taux provisoires approuvés et entrés en vigueur le 1</w:t>
      </w:r>
      <w:r w:rsidRPr="00CA103B">
        <w:rPr>
          <w:rFonts w:ascii="Gadugi" w:eastAsia="Gadugi" w:hAnsi="Gadugi" w:cs="Gadugi"/>
          <w:vertAlign w:val="superscript"/>
          <w:lang w:val="fr-CA" w:bidi="fr-CA"/>
        </w:rPr>
        <w:t>er</w:t>
      </w:r>
      <w:r w:rsidRPr="00CA103B">
        <w:rPr>
          <w:rFonts w:ascii="Gadugi" w:eastAsia="Gadugi" w:hAnsi="Gadugi" w:cs="Gadugi"/>
          <w:lang w:val="fr-CA" w:bidi="fr-CA"/>
        </w:rPr>
        <w:t xml:space="preserve"> octobre 2023.</w:t>
      </w:r>
    </w:p>
    <w:p w14:paraId="087F9907" w14:textId="77777777" w:rsidR="00EB459A" w:rsidRDefault="00EB459A" w:rsidP="00F56135">
      <w:pPr>
        <w:pStyle w:val="BodyText"/>
        <w:rPr>
          <w:rFonts w:ascii="Arial"/>
          <w:sz w:val="26"/>
        </w:rPr>
      </w:pPr>
    </w:p>
    <w:p w14:paraId="01264D31" w14:textId="77777777" w:rsidR="00EB459A" w:rsidRDefault="00632157" w:rsidP="00F56135">
      <w:pPr>
        <w:pStyle w:val="BodyText"/>
        <w:rPr>
          <w:rFonts w:ascii="Arial"/>
        </w:rPr>
      </w:pPr>
      <w:r>
        <w:rPr>
          <w:rFonts w:ascii="Gadugi" w:eastAsia="Gadugi" w:hAnsi="Gadugi" w:cs="Gadugi"/>
          <w:lang w:val="fr-CA" w:bidi="fr-CA"/>
        </w:rPr>
        <w:t>Veuillez agréer, Monsieur, mes sentiments les plus sincères.</w:t>
      </w:r>
    </w:p>
    <w:p w14:paraId="356BF451" w14:textId="77777777" w:rsidR="00EB459A" w:rsidRDefault="00EB459A" w:rsidP="00F56135">
      <w:pPr>
        <w:pStyle w:val="BodyText"/>
        <w:spacing w:before="8"/>
        <w:rPr>
          <w:rFonts w:ascii="Arial"/>
          <w:sz w:val="20"/>
        </w:rPr>
      </w:pPr>
    </w:p>
    <w:p w14:paraId="69236481" w14:textId="744BFC70" w:rsidR="00F56135" w:rsidRDefault="002B0485" w:rsidP="00F56135">
      <w:pPr>
        <w:pStyle w:val="BodyText"/>
        <w:spacing w:before="8"/>
        <w:rPr>
          <w:rFonts w:ascii="Arial"/>
          <w:sz w:val="20"/>
        </w:rPr>
      </w:pPr>
      <w:r>
        <w:rPr>
          <w:rFonts w:ascii="Gadugi" w:eastAsia="Gadugi" w:hAnsi="Gadugi" w:cs="Gadugi"/>
          <w:noProof/>
          <w:sz w:val="20"/>
          <w:lang w:val="fr-CA" w:bidi="fr-CA"/>
        </w:rPr>
        <w:drawing>
          <wp:inline distT="0" distB="0" distL="0" distR="0" wp14:anchorId="222043A9" wp14:editId="36BF44E9">
            <wp:extent cx="2286000" cy="635000"/>
            <wp:effectExtent l="0" t="0" r="0" b="0"/>
            <wp:docPr id="1117393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93309" name="Picture 1117393309"/>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276CAEBF" w14:textId="0F788DE3" w:rsidR="004D7900" w:rsidRDefault="004D7900" w:rsidP="00F56135">
      <w:pPr>
        <w:pStyle w:val="BodyText"/>
        <w:spacing w:before="8"/>
        <w:rPr>
          <w:rFonts w:ascii="Arial"/>
          <w:sz w:val="20"/>
        </w:rPr>
      </w:pPr>
    </w:p>
    <w:p w14:paraId="1EE7EF4B" w14:textId="42D3E211" w:rsidR="004D7900" w:rsidRDefault="004D7900" w:rsidP="00F56135">
      <w:pPr>
        <w:pStyle w:val="BodyText"/>
        <w:spacing w:before="8"/>
        <w:rPr>
          <w:rFonts w:ascii="Arial"/>
          <w:sz w:val="20"/>
        </w:rPr>
      </w:pPr>
    </w:p>
    <w:p w14:paraId="68430598" w14:textId="60BFD834" w:rsidR="00F56135" w:rsidRDefault="0025684C" w:rsidP="00D0613A">
      <w:pPr>
        <w:pStyle w:val="BodyText"/>
        <w:ind w:right="90"/>
        <w:rPr>
          <w:rFonts w:ascii="Arial"/>
        </w:rPr>
      </w:pPr>
      <w:r>
        <w:rPr>
          <w:rFonts w:ascii="Gadugi" w:eastAsia="Gadugi" w:hAnsi="Gadugi" w:cs="Gadugi"/>
          <w:lang w:val="fr-CA" w:bidi="fr-CA"/>
        </w:rPr>
        <w:t>Graham Lock</w:t>
      </w:r>
    </w:p>
    <w:p w14:paraId="625EDA02" w14:textId="3D74E94C" w:rsidR="00EB459A" w:rsidRDefault="009D106A" w:rsidP="009A0F2A">
      <w:pPr>
        <w:pStyle w:val="BodyText"/>
        <w:tabs>
          <w:tab w:val="left" w:pos="1701"/>
        </w:tabs>
        <w:ind w:right="7375"/>
        <w:rPr>
          <w:rFonts w:ascii="Arial"/>
        </w:rPr>
      </w:pPr>
      <w:r>
        <w:rPr>
          <w:rFonts w:ascii="Gadugi" w:eastAsia="Gadugi" w:hAnsi="Gadugi" w:cs="Gadugi"/>
          <w:lang w:val="fr-CA" w:bidi="fr-CA"/>
        </w:rPr>
        <w:t>Président par intérim</w:t>
      </w:r>
    </w:p>
    <w:p w14:paraId="6BDE7556" w14:textId="2FF2F544" w:rsidR="00EB459A" w:rsidRDefault="00632157" w:rsidP="00F56135">
      <w:pPr>
        <w:pStyle w:val="BodyText"/>
        <w:rPr>
          <w:rFonts w:ascii="Arial"/>
        </w:rPr>
      </w:pPr>
      <w:r>
        <w:rPr>
          <w:rFonts w:ascii="Gadugi" w:eastAsia="Gadugi" w:hAnsi="Gadugi" w:cs="Gadugi"/>
          <w:lang w:val="fr-CA" w:bidi="fr-CA"/>
        </w:rPr>
        <w:t>Conseil d’examen des taux des entreprises de service au Nunavut</w:t>
      </w:r>
    </w:p>
    <w:p w14:paraId="0198F9E4" w14:textId="77777777" w:rsidR="00EB459A" w:rsidRDefault="00EB459A" w:rsidP="00F56135">
      <w:pPr>
        <w:pStyle w:val="BodyText"/>
        <w:spacing w:before="1"/>
        <w:ind w:hanging="338"/>
        <w:rPr>
          <w:rFonts w:ascii="Arial"/>
          <w:sz w:val="36"/>
        </w:rPr>
      </w:pPr>
    </w:p>
    <w:p w14:paraId="64B74C09" w14:textId="5714F654" w:rsidR="00EB459A" w:rsidRDefault="00EB7EAB" w:rsidP="004459FE">
      <w:pPr>
        <w:pStyle w:val="BodyText"/>
        <w:ind w:left="720" w:right="-270" w:hanging="720"/>
        <w:rPr>
          <w:rFonts w:ascii="Arial"/>
        </w:rPr>
      </w:pPr>
      <w:r>
        <w:rPr>
          <w:rFonts w:ascii="Gadugi" w:eastAsia="Gadugi" w:hAnsi="Gadugi" w:cs="Gadugi"/>
          <w:lang w:val="fr-CA" w:bidi="fr-CA"/>
        </w:rPr>
        <w:t>cc :</w:t>
      </w:r>
      <w:r>
        <w:rPr>
          <w:rFonts w:ascii="Gadugi" w:eastAsia="Gadugi" w:hAnsi="Gadugi" w:cs="Gadugi"/>
          <w:lang w:val="fr-CA" w:bidi="fr-CA"/>
        </w:rPr>
        <w:tab/>
        <w:t>Honorable PJ Akeeagok, ministre responsable du Conseil d’examen des taux des entreprises de service au Nunavut</w:t>
      </w:r>
    </w:p>
    <w:p w14:paraId="66ECD58D" w14:textId="38C0D038" w:rsidR="00EB459A" w:rsidRDefault="00C15581" w:rsidP="00F56135">
      <w:pPr>
        <w:pStyle w:val="BodyText"/>
        <w:ind w:left="709" w:right="-10"/>
        <w:rPr>
          <w:rFonts w:ascii="Arial"/>
        </w:rPr>
      </w:pPr>
      <w:r>
        <w:rPr>
          <w:rFonts w:ascii="Gadugi" w:eastAsia="Gadugi" w:hAnsi="Gadugi" w:cs="Gadugi"/>
          <w:lang w:val="fr-CA" w:bidi="fr-CA"/>
        </w:rPr>
        <w:lastRenderedPageBreak/>
        <w:t>Anna Fowler, sous-ministre, Exécutif et Affaires intergouvernementales</w:t>
      </w:r>
    </w:p>
    <w:p w14:paraId="26C97730" w14:textId="7ED4A2C1" w:rsidR="00EB459A" w:rsidRDefault="009A0F2A" w:rsidP="00A96E2A">
      <w:pPr>
        <w:pStyle w:val="BodyText"/>
        <w:ind w:left="851" w:hanging="142"/>
        <w:rPr>
          <w:rFonts w:ascii="Arial"/>
        </w:rPr>
      </w:pPr>
      <w:r>
        <w:rPr>
          <w:rFonts w:ascii="Gadugi" w:eastAsia="Gadugi" w:hAnsi="Gadugi" w:cs="Gadugi"/>
          <w:lang w:val="fr-CA" w:bidi="fr-CA"/>
        </w:rPr>
        <w:t>Bill Nippard, président-directeur général par intérim de la Société d'énergie Qulliq</w:t>
      </w:r>
    </w:p>
    <w:p w14:paraId="626761DB" w14:textId="324EC204" w:rsidR="00EB459A" w:rsidRDefault="00E56126" w:rsidP="00A96E2A">
      <w:pPr>
        <w:pStyle w:val="BodyText"/>
        <w:ind w:left="851" w:hanging="142"/>
        <w:rPr>
          <w:rFonts w:ascii="Arial"/>
        </w:rPr>
      </w:pPr>
      <w:r>
        <w:rPr>
          <w:rFonts w:ascii="Gadugi" w:eastAsia="Gadugi" w:hAnsi="Gadugi" w:cs="Gadugi"/>
          <w:lang w:val="fr-CA" w:bidi="fr-CA"/>
        </w:rPr>
        <w:t>Laurie-Anne White, directrice générale du Conseil d’examen des taux des entreprises de service au Nunavut</w:t>
      </w:r>
    </w:p>
    <w:p w14:paraId="3321F151" w14:textId="149A258E" w:rsidR="00EB459A" w:rsidRDefault="00EB459A">
      <w:pPr>
        <w:pStyle w:val="BodyText"/>
        <w:rPr>
          <w:rFonts w:ascii="Arial"/>
          <w:sz w:val="20"/>
        </w:rPr>
      </w:pPr>
    </w:p>
    <w:p w14:paraId="28DC8BF3" w14:textId="769E1EDF" w:rsidR="00EB459A" w:rsidRDefault="00EB459A">
      <w:pPr>
        <w:pStyle w:val="BodyText"/>
        <w:spacing w:before="9"/>
        <w:rPr>
          <w:rFonts w:ascii="Arial"/>
          <w:sz w:val="16"/>
        </w:rPr>
      </w:pPr>
    </w:p>
    <w:p w14:paraId="2FF1BDB9" w14:textId="76328009" w:rsidR="00EB459A" w:rsidRDefault="00EB459A" w:rsidP="00734E8C">
      <w:pPr>
        <w:pStyle w:val="BodyText"/>
        <w:spacing w:before="70"/>
        <w:jc w:val="center"/>
        <w:rPr>
          <w:rFonts w:ascii="Tahoma"/>
        </w:rPr>
      </w:pPr>
    </w:p>
    <w:p w14:paraId="680830E1" w14:textId="77777777" w:rsidR="00EB459A" w:rsidRDefault="00EB459A">
      <w:pPr>
        <w:rPr>
          <w:rFonts w:ascii="Tahoma"/>
        </w:rPr>
        <w:sectPr w:rsidR="00EB459A" w:rsidSect="00B23850">
          <w:headerReference w:type="default" r:id="rId10"/>
          <w:footerReference w:type="default" r:id="rId11"/>
          <w:type w:val="continuous"/>
          <w:pgSz w:w="12240" w:h="15840"/>
          <w:pgMar w:top="706" w:right="1440" w:bottom="720" w:left="1440" w:header="720" w:footer="720" w:gutter="0"/>
          <w:cols w:space="720"/>
        </w:sectPr>
      </w:pPr>
    </w:p>
    <w:p w14:paraId="1D481D4E" w14:textId="77777777" w:rsidR="00EB459A" w:rsidRDefault="00EB459A">
      <w:pPr>
        <w:pStyle w:val="BodyText"/>
        <w:spacing w:before="4"/>
        <w:rPr>
          <w:rFonts w:ascii="Tahoma"/>
          <w:sz w:val="9"/>
        </w:rPr>
      </w:pPr>
    </w:p>
    <w:p w14:paraId="7298EC96" w14:textId="77777777" w:rsidR="00EB459A" w:rsidRDefault="00632157" w:rsidP="00D85A30">
      <w:pPr>
        <w:pStyle w:val="BodyText"/>
        <w:jc w:val="center"/>
        <w:rPr>
          <w:rFonts w:ascii="Tahoma"/>
          <w:sz w:val="20"/>
        </w:rPr>
      </w:pPr>
      <w:r>
        <w:rPr>
          <w:rFonts w:ascii="Gadugi" w:eastAsia="Gadugi" w:hAnsi="Gadugi" w:cs="Gadugi"/>
          <w:noProof/>
          <w:sz w:val="20"/>
          <w:lang w:val="fr-CA" w:bidi="fr-CA"/>
        </w:rPr>
        <w:drawing>
          <wp:inline distT="0" distB="0" distL="0" distR="0" wp14:anchorId="24432B33" wp14:editId="3FDCFF78">
            <wp:extent cx="5661206" cy="2029968"/>
            <wp:effectExtent l="0" t="0" r="0" b="0"/>
            <wp:docPr id="13" name="image6.jpeg"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5661206" cy="2029968"/>
                    </a:xfrm>
                    <a:prstGeom prst="rect">
                      <a:avLst/>
                    </a:prstGeom>
                  </pic:spPr>
                </pic:pic>
              </a:graphicData>
            </a:graphic>
          </wp:inline>
        </w:drawing>
      </w:r>
    </w:p>
    <w:p w14:paraId="6FB9199F" w14:textId="77777777" w:rsidR="00EB459A" w:rsidRDefault="00EB459A">
      <w:pPr>
        <w:pStyle w:val="BodyText"/>
        <w:rPr>
          <w:rFonts w:ascii="Tahoma"/>
          <w:sz w:val="20"/>
        </w:rPr>
      </w:pPr>
    </w:p>
    <w:p w14:paraId="2B18CE97" w14:textId="77777777" w:rsidR="00EB459A" w:rsidRDefault="00EB459A">
      <w:pPr>
        <w:pStyle w:val="BodyText"/>
        <w:rPr>
          <w:rFonts w:ascii="Tahoma"/>
          <w:sz w:val="20"/>
        </w:rPr>
      </w:pPr>
    </w:p>
    <w:p w14:paraId="71BA4AFF" w14:textId="77777777" w:rsidR="00EB459A" w:rsidRDefault="00EB459A">
      <w:pPr>
        <w:pStyle w:val="BodyText"/>
        <w:spacing w:before="8"/>
        <w:rPr>
          <w:rFonts w:ascii="Tahoma"/>
        </w:rPr>
      </w:pPr>
    </w:p>
    <w:p w14:paraId="1372DA57" w14:textId="77777777" w:rsidR="00EC436E" w:rsidRDefault="00EC436E">
      <w:pPr>
        <w:pStyle w:val="BodyText"/>
        <w:spacing w:before="8"/>
        <w:rPr>
          <w:rFonts w:ascii="Tahoma"/>
        </w:rPr>
      </w:pPr>
    </w:p>
    <w:p w14:paraId="12DC182B" w14:textId="77777777" w:rsidR="00EB459A" w:rsidRPr="00290E8E" w:rsidRDefault="00632157" w:rsidP="00452295">
      <w:pPr>
        <w:spacing w:line="480" w:lineRule="auto"/>
        <w:jc w:val="center"/>
      </w:pPr>
      <w:bookmarkStart w:id="1" w:name="Cover_Page"/>
      <w:bookmarkEnd w:id="1"/>
      <w:r w:rsidRPr="00452295">
        <w:rPr>
          <w:rFonts w:ascii="Gadugi" w:eastAsia="Gadugi" w:hAnsi="Gadugi" w:cs="Gadugi"/>
          <w:b/>
          <w:sz w:val="28"/>
          <w:lang w:val="fr-CA" w:bidi="fr-CA"/>
        </w:rPr>
        <w:t>Rapport au ministre responsable de la Société d’énergie Qulliq concernant :</w:t>
      </w:r>
    </w:p>
    <w:p w14:paraId="41592D39" w14:textId="0F3CDD4C" w:rsidR="00235F9A" w:rsidRPr="005B0B3B" w:rsidRDefault="00632157" w:rsidP="00D85A30">
      <w:pPr>
        <w:jc w:val="center"/>
        <w:rPr>
          <w:b/>
          <w:sz w:val="28"/>
          <w:szCs w:val="28"/>
        </w:rPr>
      </w:pPr>
      <w:r w:rsidRPr="005B0B3B">
        <w:rPr>
          <w:rFonts w:ascii="Gadugi" w:eastAsia="Gadugi" w:hAnsi="Gadugi" w:cs="Gadugi"/>
          <w:b/>
          <w:sz w:val="28"/>
          <w:lang w:val="fr-CA" w:bidi="fr-CA"/>
        </w:rPr>
        <w:t xml:space="preserve">Une demande présentée par la Société d’énergie Qulliq pour </w:t>
      </w:r>
    </w:p>
    <w:p w14:paraId="2097E318" w14:textId="2CD3AC11" w:rsidR="00EB459A" w:rsidRPr="005B0B3B" w:rsidRDefault="00632157" w:rsidP="00D85A30">
      <w:pPr>
        <w:jc w:val="center"/>
        <w:rPr>
          <w:b/>
          <w:sz w:val="28"/>
          <w:szCs w:val="28"/>
        </w:rPr>
      </w:pPr>
      <w:r w:rsidRPr="005B0B3B">
        <w:rPr>
          <w:rFonts w:ascii="Gadugi" w:eastAsia="Gadugi" w:hAnsi="Gadugi" w:cs="Gadugi"/>
          <w:b/>
          <w:sz w:val="28"/>
          <w:lang w:val="fr-CA" w:bidi="fr-CA"/>
        </w:rPr>
        <w:t>l’approbation d’une modification du tarif d’électricité de base</w:t>
      </w:r>
    </w:p>
    <w:p w14:paraId="7DEFCF68" w14:textId="77777777" w:rsidR="00EB459A" w:rsidRPr="005B0B3B" w:rsidRDefault="00EB459A" w:rsidP="00D85A30">
      <w:pPr>
        <w:pStyle w:val="BodyText"/>
        <w:spacing w:before="7"/>
        <w:jc w:val="center"/>
        <w:rPr>
          <w:b/>
          <w:sz w:val="28"/>
          <w:szCs w:val="28"/>
        </w:rPr>
      </w:pPr>
    </w:p>
    <w:p w14:paraId="0D542563" w14:textId="05A70430" w:rsidR="00EB459A" w:rsidRPr="005B0B3B" w:rsidRDefault="0025684C" w:rsidP="0025684C">
      <w:pPr>
        <w:spacing w:line="322" w:lineRule="exact"/>
        <w:jc w:val="center"/>
        <w:rPr>
          <w:b/>
          <w:sz w:val="28"/>
          <w:szCs w:val="28"/>
        </w:rPr>
      </w:pPr>
      <w:r>
        <w:rPr>
          <w:rFonts w:ascii="Gadugi" w:eastAsia="Gadugi" w:hAnsi="Gadugi" w:cs="Gadugi"/>
          <w:b/>
          <w:sz w:val="28"/>
          <w:lang w:val="fr-CA" w:bidi="fr-CA"/>
        </w:rPr>
        <w:t>En vigueur au 1</w:t>
      </w:r>
      <w:r>
        <w:rPr>
          <w:rFonts w:ascii="Gadugi" w:eastAsia="Gadugi" w:hAnsi="Gadugi" w:cs="Gadugi"/>
          <w:b/>
          <w:sz w:val="28"/>
          <w:vertAlign w:val="superscript"/>
          <w:lang w:val="fr-CA" w:bidi="fr-CA"/>
        </w:rPr>
        <w:t>er</w:t>
      </w:r>
      <w:r>
        <w:rPr>
          <w:rFonts w:ascii="Gadugi" w:eastAsia="Gadugi" w:hAnsi="Gadugi" w:cs="Gadugi"/>
          <w:b/>
          <w:sz w:val="28"/>
          <w:lang w:val="fr-CA" w:bidi="fr-CA"/>
        </w:rPr>
        <w:t xml:space="preserve"> octobre 2023</w:t>
      </w:r>
    </w:p>
    <w:p w14:paraId="702B0C92" w14:textId="77777777" w:rsidR="00EB459A" w:rsidRDefault="00EB459A" w:rsidP="00D85A30">
      <w:pPr>
        <w:pStyle w:val="BodyText"/>
        <w:spacing w:before="11"/>
        <w:jc w:val="center"/>
        <w:rPr>
          <w:b/>
          <w:sz w:val="28"/>
          <w:szCs w:val="28"/>
        </w:rPr>
      </w:pPr>
    </w:p>
    <w:p w14:paraId="0FBE8022" w14:textId="77777777" w:rsidR="00EC436E" w:rsidRPr="005B0B3B" w:rsidRDefault="00EC436E" w:rsidP="00D85A30">
      <w:pPr>
        <w:pStyle w:val="BodyText"/>
        <w:spacing w:before="11"/>
        <w:jc w:val="center"/>
        <w:rPr>
          <w:b/>
          <w:sz w:val="28"/>
          <w:szCs w:val="28"/>
        </w:rPr>
      </w:pPr>
    </w:p>
    <w:p w14:paraId="3E8E336D" w14:textId="3020D509" w:rsidR="00EB459A" w:rsidRDefault="00632157" w:rsidP="00D85A30">
      <w:pPr>
        <w:jc w:val="center"/>
        <w:rPr>
          <w:rFonts w:ascii="Arial"/>
          <w:b/>
          <w:sz w:val="28"/>
        </w:rPr>
      </w:pPr>
      <w:r w:rsidRPr="005B0B3B">
        <w:rPr>
          <w:rFonts w:ascii="Gadugi" w:eastAsia="Gadugi" w:hAnsi="Gadugi" w:cs="Gadugi"/>
          <w:b/>
          <w:sz w:val="28"/>
          <w:lang w:val="fr-CA" w:bidi="fr-CA"/>
        </w:rPr>
        <w:t>Rapport 2023-03</w:t>
      </w:r>
    </w:p>
    <w:p w14:paraId="7057B622" w14:textId="77777777" w:rsidR="00EB459A" w:rsidRDefault="00EB459A" w:rsidP="00D85A30">
      <w:pPr>
        <w:pStyle w:val="BodyText"/>
        <w:jc w:val="center"/>
        <w:rPr>
          <w:rFonts w:ascii="Arial"/>
          <w:b/>
          <w:sz w:val="30"/>
        </w:rPr>
      </w:pPr>
    </w:p>
    <w:p w14:paraId="6FF338E0" w14:textId="77777777" w:rsidR="00EB459A" w:rsidRDefault="00EB459A">
      <w:pPr>
        <w:pStyle w:val="BodyText"/>
        <w:rPr>
          <w:rFonts w:ascii="Arial"/>
          <w:b/>
          <w:sz w:val="30"/>
        </w:rPr>
      </w:pPr>
    </w:p>
    <w:p w14:paraId="60D9D366" w14:textId="77777777" w:rsidR="00EB459A" w:rsidRDefault="00EB459A">
      <w:pPr>
        <w:pStyle w:val="BodyText"/>
        <w:rPr>
          <w:rFonts w:ascii="Arial"/>
          <w:b/>
          <w:sz w:val="30"/>
        </w:rPr>
      </w:pPr>
    </w:p>
    <w:p w14:paraId="1F8FCACC" w14:textId="77777777" w:rsidR="00EB459A" w:rsidRDefault="00EB459A">
      <w:pPr>
        <w:pStyle w:val="BodyText"/>
        <w:rPr>
          <w:rFonts w:ascii="Arial"/>
          <w:b/>
          <w:sz w:val="30"/>
        </w:rPr>
      </w:pPr>
    </w:p>
    <w:p w14:paraId="6A63A64F" w14:textId="77777777" w:rsidR="00EB459A" w:rsidRDefault="00EB459A">
      <w:pPr>
        <w:pStyle w:val="BodyText"/>
        <w:rPr>
          <w:rFonts w:ascii="Arial"/>
          <w:b/>
          <w:sz w:val="30"/>
        </w:rPr>
      </w:pPr>
    </w:p>
    <w:p w14:paraId="74458357" w14:textId="11F54854" w:rsidR="00EB459A" w:rsidRPr="005B0B3B" w:rsidRDefault="0025684C">
      <w:pPr>
        <w:ind w:right="375"/>
        <w:jc w:val="center"/>
        <w:rPr>
          <w:b/>
          <w:sz w:val="28"/>
        </w:rPr>
      </w:pPr>
      <w:r w:rsidRPr="00D34D58">
        <w:rPr>
          <w:rFonts w:ascii="Gadugi" w:eastAsia="Gadugi" w:hAnsi="Gadugi" w:cs="Gadugi"/>
          <w:b/>
          <w:sz w:val="28"/>
          <w:lang w:val="fr-CA" w:bidi="fr-CA"/>
        </w:rPr>
        <w:t>18 décembre 2023</w:t>
      </w:r>
    </w:p>
    <w:p w14:paraId="29CC9AE4" w14:textId="77777777" w:rsidR="00EB459A" w:rsidRDefault="00EB459A">
      <w:pPr>
        <w:jc w:val="center"/>
        <w:rPr>
          <w:rFonts w:ascii="Arial"/>
          <w:sz w:val="28"/>
        </w:rPr>
        <w:sectPr w:rsidR="00EB459A" w:rsidSect="00B23850">
          <w:headerReference w:type="default" r:id="rId13"/>
          <w:footerReference w:type="default" r:id="rId14"/>
          <w:pgSz w:w="12240" w:h="15840"/>
          <w:pgMar w:top="1440" w:right="1440" w:bottom="720" w:left="1440" w:header="720" w:footer="720" w:gutter="0"/>
          <w:cols w:space="720"/>
        </w:sectPr>
      </w:pPr>
    </w:p>
    <w:p w14:paraId="0E395E6E" w14:textId="14F050A3" w:rsidR="00EB459A" w:rsidRPr="009A35CC" w:rsidRDefault="009A35CC" w:rsidP="009A35CC">
      <w:pPr>
        <w:pStyle w:val="BodyText"/>
        <w:spacing w:before="9"/>
        <w:jc w:val="center"/>
        <w:rPr>
          <w:b/>
        </w:rPr>
      </w:pPr>
      <w:r w:rsidRPr="009A35CC">
        <w:rPr>
          <w:rFonts w:ascii="Gadugi" w:eastAsia="Gadugi" w:hAnsi="Gadugi" w:cs="Gadugi"/>
          <w:b/>
          <w:lang w:val="fr-CA" w:bidi="fr-CA"/>
        </w:rPr>
        <w:lastRenderedPageBreak/>
        <w:t>CONSEIL D’EXAMEN DES TAUX DES ENTREPRISES DE SERVICE AU NUNAVUT</w:t>
      </w:r>
    </w:p>
    <w:p w14:paraId="177CE43B" w14:textId="77777777" w:rsidR="009A35CC" w:rsidRDefault="009A35CC" w:rsidP="00574174">
      <w:bookmarkStart w:id="2" w:name="Panels_Members"/>
      <w:bookmarkStart w:id="3" w:name="Support"/>
      <w:bookmarkEnd w:id="2"/>
      <w:bookmarkEnd w:id="3"/>
    </w:p>
    <w:p w14:paraId="66D91731" w14:textId="77777777" w:rsidR="009A35CC" w:rsidRDefault="009A35CC" w:rsidP="00574174"/>
    <w:p w14:paraId="49E85B48" w14:textId="2D4C655B" w:rsidR="00EB459A" w:rsidRPr="00574174" w:rsidRDefault="00632157" w:rsidP="00574174">
      <w:pPr>
        <w:rPr>
          <w:u w:val="single"/>
        </w:rPr>
      </w:pPr>
      <w:r w:rsidRPr="00574174">
        <w:rPr>
          <w:rFonts w:ascii="Gadugi" w:eastAsia="Gadugi" w:hAnsi="Gadugi" w:cs="Gadugi"/>
          <w:b/>
          <w:u w:val="single"/>
          <w:lang w:val="fr-CA" w:bidi="fr-CA"/>
        </w:rPr>
        <w:t>MEMBRES</w:t>
      </w:r>
      <w:r w:rsidRPr="00574174">
        <w:rPr>
          <w:rFonts w:ascii="Gadugi" w:eastAsia="Gadugi" w:hAnsi="Gadugi" w:cs="Gadugi"/>
          <w:b/>
          <w:sz w:val="24"/>
          <w:u w:val="single"/>
          <w:lang w:val="fr-CA" w:bidi="fr-CA"/>
        </w:rPr>
        <w:t xml:space="preserve"> DU CONSEIL</w:t>
      </w:r>
    </w:p>
    <w:p w14:paraId="7202BCC5" w14:textId="77777777" w:rsidR="00EB459A" w:rsidRPr="005B2490" w:rsidRDefault="00EB459A">
      <w:pPr>
        <w:pStyle w:val="BodyText"/>
        <w:rPr>
          <w:b/>
          <w:sz w:val="20"/>
          <w:u w:val="single"/>
        </w:rPr>
      </w:pPr>
    </w:p>
    <w:p w14:paraId="163DE50A" w14:textId="37A66D5B" w:rsidR="001E21FD" w:rsidRDefault="004D25BE" w:rsidP="003478F9">
      <w:pPr>
        <w:pStyle w:val="BodyText"/>
        <w:tabs>
          <w:tab w:val="left" w:pos="5580"/>
        </w:tabs>
        <w:spacing w:before="90" w:after="240"/>
        <w:ind w:left="2970"/>
      </w:pPr>
      <w:r>
        <w:rPr>
          <w:rFonts w:ascii="Gadugi" w:eastAsia="Gadugi" w:hAnsi="Gadugi" w:cs="Gadugi"/>
          <w:lang w:val="fr-CA" w:bidi="fr-CA"/>
        </w:rPr>
        <w:t>Graham Lock</w:t>
      </w:r>
      <w:r>
        <w:rPr>
          <w:rFonts w:ascii="Gadugi" w:eastAsia="Gadugi" w:hAnsi="Gadugi" w:cs="Gadugi"/>
          <w:lang w:val="fr-CA" w:bidi="fr-CA"/>
        </w:rPr>
        <w:tab/>
        <w:t>Président par intérim</w:t>
      </w:r>
    </w:p>
    <w:p w14:paraId="5F885FE9" w14:textId="2FCF4EAE" w:rsidR="00EB459A" w:rsidRDefault="004D25BE" w:rsidP="003478F9">
      <w:pPr>
        <w:pStyle w:val="BodyText"/>
        <w:tabs>
          <w:tab w:val="left" w:pos="5580"/>
        </w:tabs>
        <w:spacing w:before="90" w:after="240"/>
        <w:ind w:left="2970"/>
      </w:pPr>
      <w:r>
        <w:rPr>
          <w:rFonts w:ascii="Gadugi" w:eastAsia="Gadugi" w:hAnsi="Gadugi" w:cs="Gadugi"/>
          <w:lang w:val="fr-CA" w:bidi="fr-CA"/>
        </w:rPr>
        <w:t>Nadia Ciccone</w:t>
      </w:r>
      <w:r>
        <w:rPr>
          <w:rFonts w:ascii="Gadugi" w:eastAsia="Gadugi" w:hAnsi="Gadugi" w:cs="Gadugi"/>
          <w:lang w:val="fr-CA" w:bidi="fr-CA"/>
        </w:rPr>
        <w:tab/>
        <w:t>Membre</w:t>
      </w:r>
    </w:p>
    <w:p w14:paraId="2750A8FC" w14:textId="4AD94543" w:rsidR="00EB459A" w:rsidRDefault="004D25BE" w:rsidP="003478F9">
      <w:pPr>
        <w:pStyle w:val="BodyText"/>
        <w:tabs>
          <w:tab w:val="left" w:pos="5580"/>
        </w:tabs>
        <w:spacing w:before="137"/>
        <w:ind w:left="2970"/>
      </w:pPr>
      <w:r>
        <w:rPr>
          <w:rFonts w:ascii="Gadugi" w:eastAsia="Gadugi" w:hAnsi="Gadugi" w:cs="Gadugi"/>
          <w:lang w:val="fr-CA" w:bidi="fr-CA"/>
        </w:rPr>
        <w:t>Bill Williams</w:t>
      </w:r>
      <w:r>
        <w:rPr>
          <w:rFonts w:ascii="Gadugi" w:eastAsia="Gadugi" w:hAnsi="Gadugi" w:cs="Gadugi"/>
          <w:lang w:val="fr-CA" w:bidi="fr-CA"/>
        </w:rPr>
        <w:tab/>
        <w:t>Membre</w:t>
      </w:r>
    </w:p>
    <w:p w14:paraId="5C6F84CA" w14:textId="77777777" w:rsidR="00EB459A" w:rsidRDefault="00EB459A">
      <w:pPr>
        <w:pStyle w:val="BodyText"/>
        <w:rPr>
          <w:sz w:val="20"/>
        </w:rPr>
      </w:pPr>
    </w:p>
    <w:p w14:paraId="3D4630E5" w14:textId="77777777" w:rsidR="00EB459A" w:rsidRDefault="00EB459A">
      <w:pPr>
        <w:pStyle w:val="BodyText"/>
        <w:rPr>
          <w:sz w:val="20"/>
        </w:rPr>
      </w:pPr>
    </w:p>
    <w:p w14:paraId="48CE902A" w14:textId="77777777" w:rsidR="00EB459A" w:rsidRDefault="00EB459A">
      <w:pPr>
        <w:pStyle w:val="BodyText"/>
        <w:rPr>
          <w:sz w:val="20"/>
        </w:rPr>
      </w:pPr>
    </w:p>
    <w:p w14:paraId="377D8655" w14:textId="77777777" w:rsidR="00EB459A" w:rsidRDefault="00EB459A">
      <w:pPr>
        <w:pStyle w:val="BodyText"/>
        <w:rPr>
          <w:sz w:val="20"/>
        </w:rPr>
      </w:pPr>
    </w:p>
    <w:p w14:paraId="65973402" w14:textId="77777777" w:rsidR="00EB459A" w:rsidRDefault="00EB459A">
      <w:pPr>
        <w:pStyle w:val="BodyText"/>
        <w:rPr>
          <w:sz w:val="20"/>
        </w:rPr>
      </w:pPr>
    </w:p>
    <w:p w14:paraId="74B3155A" w14:textId="77777777" w:rsidR="00EB459A" w:rsidRDefault="00EB459A">
      <w:pPr>
        <w:rPr>
          <w:sz w:val="20"/>
        </w:rPr>
        <w:sectPr w:rsidR="00EB459A" w:rsidSect="00B23850">
          <w:headerReference w:type="default" r:id="rId15"/>
          <w:footerReference w:type="default" r:id="rId16"/>
          <w:pgSz w:w="12240" w:h="15840"/>
          <w:pgMar w:top="1500" w:right="940" w:bottom="280" w:left="1320" w:header="720" w:footer="720" w:gutter="0"/>
          <w:cols w:space="720"/>
        </w:sectPr>
      </w:pPr>
    </w:p>
    <w:p w14:paraId="15471BBA" w14:textId="5014BC67" w:rsidR="00EB459A" w:rsidRPr="00574174" w:rsidRDefault="00632157" w:rsidP="00574174">
      <w:pPr>
        <w:rPr>
          <w:u w:val="single"/>
        </w:rPr>
      </w:pPr>
      <w:r w:rsidRPr="00574174">
        <w:rPr>
          <w:rFonts w:ascii="Gadugi" w:eastAsia="Gadugi" w:hAnsi="Gadugi" w:cs="Gadugi"/>
          <w:b/>
          <w:u w:val="single"/>
          <w:lang w:val="fr-CA" w:bidi="fr-CA"/>
        </w:rPr>
        <w:t>PERSONNEL COMPLÉMENTAIRE</w:t>
      </w:r>
    </w:p>
    <w:p w14:paraId="468C93E9" w14:textId="77777777" w:rsidR="00235F9A" w:rsidRDefault="00235F9A" w:rsidP="00290E8E"/>
    <w:p w14:paraId="63FF7620" w14:textId="1A1318FB" w:rsidR="00EB459A" w:rsidRDefault="00632157">
      <w:pPr>
        <w:pStyle w:val="BodyText"/>
      </w:pPr>
      <w:r>
        <w:rPr>
          <w:rFonts w:ascii="Gadugi" w:eastAsia="Gadugi" w:hAnsi="Gadugi" w:cs="Gadugi"/>
          <w:lang w:val="fr-CA" w:bidi="fr-CA"/>
        </w:rPr>
        <w:br w:type="column"/>
      </w:r>
    </w:p>
    <w:p w14:paraId="191A7AC7" w14:textId="77777777" w:rsidR="00235F9A" w:rsidRDefault="00235F9A" w:rsidP="00235F9A">
      <w:pPr>
        <w:pStyle w:val="BodyText"/>
        <w:ind w:left="-2790"/>
        <w:rPr>
          <w:b/>
          <w:sz w:val="26"/>
        </w:rPr>
      </w:pPr>
    </w:p>
    <w:p w14:paraId="5A63955F" w14:textId="6B840E27" w:rsidR="00EB459A" w:rsidRDefault="0082673F" w:rsidP="003478F9">
      <w:pPr>
        <w:pStyle w:val="BodyText"/>
        <w:tabs>
          <w:tab w:val="left" w:pos="2700"/>
        </w:tabs>
        <w:spacing w:before="207" w:after="240"/>
        <w:ind w:left="115"/>
      </w:pPr>
      <w:r>
        <w:rPr>
          <w:rFonts w:ascii="Gadugi" w:eastAsia="Gadugi" w:hAnsi="Gadugi" w:cs="Gadugi"/>
          <w:lang w:val="fr-CA" w:bidi="fr-CA"/>
        </w:rPr>
        <w:t>Laurie-Anne White</w:t>
      </w:r>
      <w:r>
        <w:rPr>
          <w:rFonts w:ascii="Gadugi" w:eastAsia="Gadugi" w:hAnsi="Gadugi" w:cs="Gadugi"/>
          <w:lang w:val="fr-CA" w:bidi="fr-CA"/>
        </w:rPr>
        <w:tab/>
        <w:t>Directrice générale</w:t>
      </w:r>
    </w:p>
    <w:p w14:paraId="39663EFF" w14:textId="77777777" w:rsidR="00EB459A" w:rsidRDefault="00632157" w:rsidP="003478F9">
      <w:pPr>
        <w:pStyle w:val="BodyText"/>
        <w:tabs>
          <w:tab w:val="left" w:pos="2700"/>
        </w:tabs>
        <w:spacing w:before="139"/>
        <w:ind w:left="120"/>
      </w:pPr>
      <w:r>
        <w:rPr>
          <w:rFonts w:ascii="Gadugi" w:eastAsia="Gadugi" w:hAnsi="Gadugi" w:cs="Gadugi"/>
          <w:lang w:val="fr-CA" w:bidi="fr-CA"/>
        </w:rPr>
        <w:t>Wade Vienneau</w:t>
      </w:r>
      <w:r>
        <w:rPr>
          <w:rFonts w:ascii="Gadugi" w:eastAsia="Gadugi" w:hAnsi="Gadugi" w:cs="Gadugi"/>
          <w:lang w:val="fr-CA" w:bidi="fr-CA"/>
        </w:rPr>
        <w:tab/>
        <w:t>Conseiller</w:t>
      </w:r>
    </w:p>
    <w:p w14:paraId="228B7C2E" w14:textId="77777777" w:rsidR="00EB459A" w:rsidRDefault="00EB459A">
      <w:pPr>
        <w:sectPr w:rsidR="00EB459A" w:rsidSect="00B23850">
          <w:type w:val="continuous"/>
          <w:pgSz w:w="12240" w:h="15840"/>
          <w:pgMar w:top="700" w:right="940" w:bottom="280" w:left="1320" w:header="720" w:footer="720" w:gutter="0"/>
          <w:cols w:num="2" w:space="720" w:equalWidth="0">
            <w:col w:w="1278" w:space="1602"/>
            <w:col w:w="7100"/>
          </w:cols>
        </w:sectPr>
      </w:pPr>
    </w:p>
    <w:p w14:paraId="57D0FFA9" w14:textId="77777777" w:rsidR="00EB459A" w:rsidRDefault="00EB459A">
      <w:pPr>
        <w:pStyle w:val="BodyText"/>
        <w:spacing w:before="10"/>
        <w:rPr>
          <w:sz w:val="22"/>
        </w:rPr>
      </w:pPr>
    </w:p>
    <w:p w14:paraId="07ECCDD7" w14:textId="2A01447A" w:rsidR="00EB459A" w:rsidRPr="00621DF3" w:rsidRDefault="00632157" w:rsidP="00621DF3">
      <w:pPr>
        <w:pStyle w:val="Heading1"/>
        <w:rPr>
          <w:rFonts w:ascii="Times New Roman" w:hAnsi="Times New Roman" w:cs="Times New Roman"/>
          <w:sz w:val="24"/>
          <w:szCs w:val="24"/>
        </w:rPr>
      </w:pPr>
      <w:bookmarkStart w:id="4" w:name="Table_of_Contents"/>
      <w:bookmarkStart w:id="5" w:name="_bookmark0"/>
      <w:bookmarkStart w:id="6" w:name="List_of_Abbreviations"/>
      <w:bookmarkEnd w:id="4"/>
      <w:bookmarkEnd w:id="5"/>
      <w:bookmarkEnd w:id="6"/>
      <w:r w:rsidRPr="00621DF3">
        <w:rPr>
          <w:rFonts w:ascii="Gadugi" w:eastAsia="Gadugi" w:hAnsi="Gadugi" w:cs="Gadugi"/>
          <w:sz w:val="24"/>
          <w:lang w:val="fr-CA" w:bidi="fr-CA"/>
        </w:rPr>
        <w:t>LISTE DES ABRÉVIATIONS</w:t>
      </w:r>
    </w:p>
    <w:p w14:paraId="0DACC681" w14:textId="77777777" w:rsidR="00E811FC" w:rsidRDefault="00E811FC" w:rsidP="00290E8E"/>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4715C7" w14:paraId="45407D88" w14:textId="77777777" w:rsidTr="00BF7AB7">
        <w:tc>
          <w:tcPr>
            <w:tcW w:w="2070" w:type="dxa"/>
          </w:tcPr>
          <w:p w14:paraId="53E139A8" w14:textId="4A30A9AA" w:rsidR="00897FDD" w:rsidRPr="00235F9A" w:rsidRDefault="004715C7" w:rsidP="00897FDD">
            <w:pPr>
              <w:pStyle w:val="BodyText"/>
              <w:spacing w:before="120" w:after="120"/>
              <w:ind w:left="173"/>
              <w:rPr>
                <w:sz w:val="26"/>
              </w:rPr>
            </w:pPr>
            <w:r w:rsidRPr="00235F9A">
              <w:rPr>
                <w:rFonts w:ascii="Gadugi" w:eastAsia="Gadugi" w:hAnsi="Gadugi" w:cs="Gadugi"/>
                <w:sz w:val="26"/>
                <w:lang w:val="fr-CA" w:bidi="fr-CA"/>
              </w:rPr>
              <w:t>GN</w:t>
            </w:r>
          </w:p>
        </w:tc>
        <w:tc>
          <w:tcPr>
            <w:tcW w:w="6390" w:type="dxa"/>
          </w:tcPr>
          <w:p w14:paraId="026DB189" w14:textId="7B5F29F4" w:rsidR="004715C7" w:rsidRPr="00235F9A" w:rsidRDefault="004715C7" w:rsidP="00BF7AB7">
            <w:pPr>
              <w:pStyle w:val="BodyText"/>
              <w:spacing w:before="120" w:after="120"/>
              <w:rPr>
                <w:sz w:val="26"/>
              </w:rPr>
            </w:pPr>
            <w:r>
              <w:rPr>
                <w:rFonts w:ascii="Gadugi" w:eastAsia="Gadugi" w:hAnsi="Gadugi" w:cs="Gadugi"/>
                <w:sz w:val="26"/>
                <w:lang w:val="fr-CA" w:bidi="fr-CA"/>
              </w:rPr>
              <w:t>Gouvernement du Nunavut</w:t>
            </w:r>
          </w:p>
        </w:tc>
      </w:tr>
      <w:tr w:rsidR="0053245D" w14:paraId="1F4D9852" w14:textId="1BC855B7" w:rsidTr="003C51FD">
        <w:tc>
          <w:tcPr>
            <w:tcW w:w="2070" w:type="dxa"/>
          </w:tcPr>
          <w:p w14:paraId="093C26EC" w14:textId="45B20F24" w:rsidR="0053245D" w:rsidRPr="00235F9A" w:rsidRDefault="0053245D" w:rsidP="00904806">
            <w:pPr>
              <w:pStyle w:val="BodyText"/>
              <w:spacing w:before="120" w:after="120"/>
              <w:ind w:left="173"/>
              <w:rPr>
                <w:sz w:val="26"/>
              </w:rPr>
            </w:pPr>
            <w:r w:rsidRPr="00235F9A">
              <w:rPr>
                <w:rFonts w:ascii="Gadugi" w:eastAsia="Gadugi" w:hAnsi="Gadugi" w:cs="Gadugi"/>
                <w:sz w:val="26"/>
                <w:lang w:val="fr-CA" w:bidi="fr-CA"/>
              </w:rPr>
              <w:t>RMTG</w:t>
            </w:r>
          </w:p>
        </w:tc>
        <w:tc>
          <w:tcPr>
            <w:tcW w:w="6390" w:type="dxa"/>
          </w:tcPr>
          <w:p w14:paraId="63ADD83D" w14:textId="5AFBB36A" w:rsidR="0053245D" w:rsidRPr="00235F9A" w:rsidRDefault="0053245D" w:rsidP="00904806">
            <w:pPr>
              <w:pStyle w:val="BodyText"/>
              <w:spacing w:before="120" w:after="120"/>
              <w:rPr>
                <w:sz w:val="26"/>
              </w:rPr>
            </w:pPr>
            <w:r w:rsidRPr="00235F9A">
              <w:rPr>
                <w:rFonts w:ascii="Gadugi" w:eastAsia="Gadugi" w:hAnsi="Gadugi" w:cs="Gadugi"/>
                <w:sz w:val="26"/>
                <w:lang w:val="fr-CA" w:bidi="fr-CA"/>
              </w:rPr>
              <w:t>Requête en majoration tarifaire générale</w:t>
            </w:r>
          </w:p>
        </w:tc>
      </w:tr>
      <w:tr w:rsidR="0053245D" w14:paraId="1F68068B" w14:textId="77777777" w:rsidTr="003C51FD">
        <w:tc>
          <w:tcPr>
            <w:tcW w:w="2070" w:type="dxa"/>
          </w:tcPr>
          <w:p w14:paraId="7ED93470" w14:textId="051ED376" w:rsidR="0053245D" w:rsidRPr="00235F9A" w:rsidRDefault="0053245D" w:rsidP="00904806">
            <w:pPr>
              <w:pStyle w:val="BodyText"/>
              <w:spacing w:before="120" w:after="120"/>
              <w:ind w:left="173"/>
              <w:rPr>
                <w:sz w:val="26"/>
              </w:rPr>
            </w:pPr>
            <w:r w:rsidRPr="00235F9A">
              <w:rPr>
                <w:rFonts w:ascii="Gadugi" w:eastAsia="Gadugi" w:hAnsi="Gadugi" w:cs="Gadugi"/>
                <w:sz w:val="26"/>
                <w:lang w:val="fr-CA" w:bidi="fr-CA"/>
              </w:rPr>
              <w:t>TSPC</w:t>
            </w:r>
          </w:p>
        </w:tc>
        <w:tc>
          <w:tcPr>
            <w:tcW w:w="6390" w:type="dxa"/>
          </w:tcPr>
          <w:p w14:paraId="6DBDA4CC" w14:textId="0AA30334" w:rsidR="0053245D" w:rsidRPr="00235F9A" w:rsidRDefault="0053245D" w:rsidP="00904806">
            <w:pPr>
              <w:pStyle w:val="BodyText"/>
              <w:spacing w:before="120" w:after="120"/>
              <w:rPr>
                <w:sz w:val="26"/>
              </w:rPr>
            </w:pPr>
            <w:r w:rsidRPr="00235F9A">
              <w:rPr>
                <w:rFonts w:ascii="Gadugi" w:eastAsia="Gadugi" w:hAnsi="Gadugi" w:cs="Gadugi"/>
                <w:sz w:val="26"/>
                <w:lang w:val="fr-CA" w:bidi="fr-CA"/>
              </w:rPr>
              <w:t>Taux de stabilisation du prix du combustible</w:t>
            </w:r>
          </w:p>
        </w:tc>
      </w:tr>
      <w:tr w:rsidR="00D825DE" w14:paraId="057AF5C5" w14:textId="77777777" w:rsidTr="003C51FD">
        <w:tc>
          <w:tcPr>
            <w:tcW w:w="2070" w:type="dxa"/>
          </w:tcPr>
          <w:p w14:paraId="1D00E1F1" w14:textId="48EB729C" w:rsidR="00D825DE" w:rsidRDefault="00D825DE" w:rsidP="00904806">
            <w:pPr>
              <w:pStyle w:val="BodyText"/>
              <w:spacing w:before="120" w:after="120"/>
              <w:ind w:left="173"/>
              <w:rPr>
                <w:sz w:val="26"/>
              </w:rPr>
            </w:pPr>
            <w:r>
              <w:rPr>
                <w:rFonts w:ascii="Gadugi" w:eastAsia="Gadugi" w:hAnsi="Gadugi" w:cs="Gadugi"/>
                <w:sz w:val="26"/>
                <w:lang w:val="fr-CA" w:bidi="fr-CA"/>
              </w:rPr>
              <w:t>Fonds de SPC</w:t>
            </w:r>
          </w:p>
        </w:tc>
        <w:tc>
          <w:tcPr>
            <w:tcW w:w="6390" w:type="dxa"/>
          </w:tcPr>
          <w:p w14:paraId="45E88D21" w14:textId="44BDCA5D" w:rsidR="00D825DE" w:rsidRDefault="00D825DE" w:rsidP="00904806">
            <w:pPr>
              <w:pStyle w:val="BodyText"/>
              <w:spacing w:before="120" w:after="120"/>
              <w:rPr>
                <w:sz w:val="26"/>
              </w:rPr>
            </w:pPr>
            <w:r>
              <w:rPr>
                <w:rFonts w:ascii="Gadugi" w:eastAsia="Gadugi" w:hAnsi="Gadugi" w:cs="Gadugi"/>
                <w:sz w:val="26"/>
                <w:lang w:val="fr-CA" w:bidi="fr-CA"/>
              </w:rPr>
              <w:t>Fonds de stabilisation du prix du combustible</w:t>
            </w:r>
          </w:p>
        </w:tc>
      </w:tr>
      <w:tr w:rsidR="0053245D" w14:paraId="1CF60F3C" w14:textId="77777777" w:rsidTr="003C51FD">
        <w:tc>
          <w:tcPr>
            <w:tcW w:w="2070" w:type="dxa"/>
          </w:tcPr>
          <w:p w14:paraId="74CFD3A4" w14:textId="2ABE913F" w:rsidR="0053245D" w:rsidRPr="00235F9A" w:rsidRDefault="0053245D" w:rsidP="00904806">
            <w:pPr>
              <w:pStyle w:val="BodyText"/>
              <w:spacing w:before="120" w:after="120"/>
              <w:ind w:left="173"/>
              <w:rPr>
                <w:sz w:val="26"/>
              </w:rPr>
            </w:pPr>
            <w:r>
              <w:rPr>
                <w:rFonts w:ascii="Gadugi" w:eastAsia="Gadugi" w:hAnsi="Gadugi" w:cs="Gadugi"/>
                <w:sz w:val="26"/>
                <w:lang w:val="fr-CA" w:bidi="fr-CA"/>
              </w:rPr>
              <w:t>kWh</w:t>
            </w:r>
          </w:p>
        </w:tc>
        <w:tc>
          <w:tcPr>
            <w:tcW w:w="6390" w:type="dxa"/>
          </w:tcPr>
          <w:p w14:paraId="63F72FEA" w14:textId="6BD6EFEE" w:rsidR="0053245D" w:rsidRPr="00235F9A" w:rsidRDefault="0053245D" w:rsidP="00904806">
            <w:pPr>
              <w:pStyle w:val="BodyText"/>
              <w:spacing w:before="120" w:after="120"/>
              <w:rPr>
                <w:sz w:val="26"/>
              </w:rPr>
            </w:pPr>
            <w:r>
              <w:rPr>
                <w:rFonts w:ascii="Gadugi" w:eastAsia="Gadugi" w:hAnsi="Gadugi" w:cs="Gadugi"/>
                <w:sz w:val="26"/>
                <w:lang w:val="fr-CA" w:bidi="fr-CA"/>
              </w:rPr>
              <w:t>Kilowattheure</w:t>
            </w:r>
          </w:p>
        </w:tc>
      </w:tr>
      <w:tr w:rsidR="00D274AE" w14:paraId="024B75E1" w14:textId="77777777" w:rsidTr="00BF7AB7">
        <w:tc>
          <w:tcPr>
            <w:tcW w:w="2070" w:type="dxa"/>
          </w:tcPr>
          <w:p w14:paraId="58C764FB" w14:textId="2A23A64C" w:rsidR="00D274AE" w:rsidRPr="00235F9A" w:rsidRDefault="00D274AE" w:rsidP="00BF7AB7">
            <w:pPr>
              <w:pStyle w:val="BodyText"/>
              <w:spacing w:before="120" w:after="120"/>
              <w:ind w:left="173"/>
              <w:rPr>
                <w:sz w:val="26"/>
              </w:rPr>
            </w:pPr>
            <w:r>
              <w:rPr>
                <w:rFonts w:ascii="Gadugi" w:eastAsia="Gadugi" w:hAnsi="Gadugi" w:cs="Gadugi"/>
                <w:sz w:val="26"/>
                <w:lang w:val="fr-CA" w:bidi="fr-CA"/>
              </w:rPr>
              <w:t>L</w:t>
            </w:r>
          </w:p>
        </w:tc>
        <w:tc>
          <w:tcPr>
            <w:tcW w:w="6390" w:type="dxa"/>
          </w:tcPr>
          <w:p w14:paraId="7479DE20" w14:textId="2187F706" w:rsidR="00D274AE" w:rsidRPr="00235F9A" w:rsidRDefault="00D274AE" w:rsidP="00BF7AB7">
            <w:pPr>
              <w:pStyle w:val="BodyText"/>
              <w:spacing w:before="120" w:after="120"/>
              <w:rPr>
                <w:sz w:val="26"/>
              </w:rPr>
            </w:pPr>
            <w:r>
              <w:rPr>
                <w:rFonts w:ascii="Gadugi" w:eastAsia="Gadugi" w:hAnsi="Gadugi" w:cs="Gadugi"/>
                <w:sz w:val="26"/>
                <w:lang w:val="fr-CA" w:bidi="fr-CA"/>
              </w:rPr>
              <w:t>Litre</w:t>
            </w:r>
          </w:p>
        </w:tc>
      </w:tr>
      <w:tr w:rsidR="00A92998" w14:paraId="6EF07665" w14:textId="77777777" w:rsidTr="00BF7AB7">
        <w:tc>
          <w:tcPr>
            <w:tcW w:w="2070" w:type="dxa"/>
          </w:tcPr>
          <w:p w14:paraId="3FDB5F05" w14:textId="52C060C9" w:rsidR="00A92998" w:rsidRPr="00235F9A" w:rsidRDefault="00A92998" w:rsidP="00BF7AB7">
            <w:pPr>
              <w:pStyle w:val="BodyText"/>
              <w:spacing w:before="120" w:after="120"/>
              <w:ind w:left="173"/>
              <w:rPr>
                <w:sz w:val="26"/>
              </w:rPr>
            </w:pPr>
            <w:r>
              <w:rPr>
                <w:rFonts w:ascii="Gadugi" w:eastAsia="Gadugi" w:hAnsi="Gadugi" w:cs="Gadugi"/>
                <w:sz w:val="26"/>
                <w:lang w:val="fr-CA" w:bidi="fr-CA"/>
              </w:rPr>
              <w:t>PSEN</w:t>
            </w:r>
          </w:p>
        </w:tc>
        <w:tc>
          <w:tcPr>
            <w:tcW w:w="6390" w:type="dxa"/>
          </w:tcPr>
          <w:p w14:paraId="5DD9286B" w14:textId="0277C8DF" w:rsidR="00A92998" w:rsidRPr="00235F9A" w:rsidRDefault="00A92998" w:rsidP="00BF7AB7">
            <w:pPr>
              <w:pStyle w:val="BodyText"/>
              <w:spacing w:before="120" w:after="120"/>
              <w:rPr>
                <w:sz w:val="26"/>
              </w:rPr>
            </w:pPr>
            <w:r>
              <w:rPr>
                <w:rFonts w:ascii="Gadugi" w:eastAsia="Gadugi" w:hAnsi="Gadugi" w:cs="Gadugi"/>
                <w:sz w:val="26"/>
                <w:lang w:val="fr-CA" w:bidi="fr-CA"/>
              </w:rPr>
              <w:t>Programme de subvention sur l'électricité du Nunavut</w:t>
            </w:r>
          </w:p>
        </w:tc>
      </w:tr>
      <w:tr w:rsidR="0053245D" w14:paraId="785067E1" w14:textId="7241CF70" w:rsidTr="003C51FD">
        <w:tc>
          <w:tcPr>
            <w:tcW w:w="2070" w:type="dxa"/>
          </w:tcPr>
          <w:p w14:paraId="26B32181" w14:textId="7236CD24" w:rsidR="0053245D" w:rsidRPr="00E811FC" w:rsidRDefault="0053245D" w:rsidP="00904806">
            <w:pPr>
              <w:pStyle w:val="BodyText"/>
              <w:spacing w:before="120" w:after="120"/>
              <w:ind w:left="173"/>
              <w:rPr>
                <w:sz w:val="26"/>
              </w:rPr>
            </w:pPr>
            <w:r w:rsidRPr="00E811FC">
              <w:rPr>
                <w:rFonts w:ascii="Gadugi" w:eastAsia="Gadugi" w:hAnsi="Gadugi" w:cs="Gadugi"/>
                <w:sz w:val="26"/>
                <w:lang w:val="fr-CA" w:bidi="fr-CA"/>
              </w:rPr>
              <w:t>DPP</w:t>
            </w:r>
          </w:p>
        </w:tc>
        <w:tc>
          <w:tcPr>
            <w:tcW w:w="6390" w:type="dxa"/>
          </w:tcPr>
          <w:p w14:paraId="411907E3" w14:textId="1CA44A5F" w:rsidR="0053245D" w:rsidRPr="00E811FC" w:rsidRDefault="0053245D" w:rsidP="0026085B">
            <w:pPr>
              <w:pStyle w:val="BodyText"/>
              <w:spacing w:before="120" w:after="120"/>
              <w:rPr>
                <w:sz w:val="26"/>
              </w:rPr>
            </w:pPr>
            <w:r w:rsidRPr="00E811FC">
              <w:rPr>
                <w:rFonts w:ascii="Gadugi" w:eastAsia="Gadugi" w:hAnsi="Gadugi" w:cs="Gadugi"/>
                <w:sz w:val="26"/>
                <w:lang w:val="fr-CA" w:bidi="fr-CA"/>
              </w:rPr>
              <w:t>Division des Produits pétroliers</w:t>
            </w:r>
          </w:p>
        </w:tc>
      </w:tr>
      <w:tr w:rsidR="0053245D" w14:paraId="36A72625" w14:textId="77777777" w:rsidTr="003C51FD">
        <w:tc>
          <w:tcPr>
            <w:tcW w:w="2070" w:type="dxa"/>
          </w:tcPr>
          <w:p w14:paraId="3FAE0977" w14:textId="422CB601" w:rsidR="0053245D" w:rsidRPr="00E811FC" w:rsidRDefault="0053245D" w:rsidP="00904806">
            <w:pPr>
              <w:pStyle w:val="BodyText"/>
              <w:spacing w:before="120" w:after="120"/>
              <w:ind w:left="173"/>
              <w:rPr>
                <w:sz w:val="26"/>
              </w:rPr>
            </w:pPr>
            <w:r w:rsidRPr="00E811FC">
              <w:rPr>
                <w:rFonts w:ascii="Gadugi" w:eastAsia="Gadugi" w:hAnsi="Gadugi" w:cs="Gadugi"/>
                <w:sz w:val="26"/>
                <w:lang w:val="fr-CA" w:bidi="fr-CA"/>
              </w:rPr>
              <w:t>SÉQ</w:t>
            </w:r>
          </w:p>
        </w:tc>
        <w:tc>
          <w:tcPr>
            <w:tcW w:w="6390" w:type="dxa"/>
          </w:tcPr>
          <w:p w14:paraId="12ADF545" w14:textId="647A75A1" w:rsidR="0053245D" w:rsidRPr="00E811FC" w:rsidRDefault="0053245D" w:rsidP="00904806">
            <w:pPr>
              <w:pStyle w:val="BodyText"/>
              <w:spacing w:before="120" w:after="120"/>
              <w:rPr>
                <w:sz w:val="26"/>
              </w:rPr>
            </w:pPr>
            <w:r w:rsidRPr="009E6849">
              <w:rPr>
                <w:rFonts w:ascii="Gadugi" w:eastAsia="Gadugi" w:hAnsi="Gadugi" w:cs="Gadugi"/>
                <w:sz w:val="26"/>
                <w:lang w:val="fr-CA" w:bidi="fr-CA"/>
              </w:rPr>
              <w:t>Société d’énergie Qulliq</w:t>
            </w:r>
          </w:p>
        </w:tc>
      </w:tr>
      <w:tr w:rsidR="0053245D" w14:paraId="02D9454D" w14:textId="77777777" w:rsidTr="003C51FD">
        <w:tc>
          <w:tcPr>
            <w:tcW w:w="2070" w:type="dxa"/>
          </w:tcPr>
          <w:p w14:paraId="456F1742" w14:textId="48FF806C" w:rsidR="0053245D" w:rsidRPr="00E811FC" w:rsidRDefault="0053245D" w:rsidP="00904806">
            <w:pPr>
              <w:pStyle w:val="BodyText"/>
              <w:spacing w:before="120" w:after="120"/>
              <w:ind w:left="173"/>
              <w:rPr>
                <w:sz w:val="26"/>
              </w:rPr>
            </w:pPr>
            <w:r w:rsidRPr="00E811FC">
              <w:rPr>
                <w:rFonts w:ascii="Gadugi" w:eastAsia="Gadugi" w:hAnsi="Gadugi" w:cs="Gadugi"/>
                <w:sz w:val="26"/>
                <w:lang w:val="fr-CA" w:bidi="fr-CA"/>
              </w:rPr>
              <w:t>AAP</w:t>
            </w:r>
          </w:p>
        </w:tc>
        <w:tc>
          <w:tcPr>
            <w:tcW w:w="6390" w:type="dxa"/>
          </w:tcPr>
          <w:p w14:paraId="51DC1332" w14:textId="0CEE8E66" w:rsidR="0053245D" w:rsidRPr="00E811FC" w:rsidRDefault="0053245D" w:rsidP="00904806">
            <w:pPr>
              <w:pStyle w:val="BodyText"/>
              <w:spacing w:before="120" w:after="120"/>
              <w:rPr>
                <w:sz w:val="26"/>
              </w:rPr>
            </w:pPr>
            <w:r w:rsidRPr="00E811FC">
              <w:rPr>
                <w:rFonts w:ascii="Gadugi" w:eastAsia="Gadugi" w:hAnsi="Gadugi" w:cs="Gadugi"/>
                <w:sz w:val="26"/>
                <w:lang w:val="fr-CA" w:bidi="fr-CA"/>
              </w:rPr>
              <w:t>Agente ou agent administratif principal</w:t>
            </w:r>
          </w:p>
        </w:tc>
      </w:tr>
      <w:tr w:rsidR="0053245D" w14:paraId="2C81A6A8" w14:textId="77777777" w:rsidTr="003C51FD">
        <w:tc>
          <w:tcPr>
            <w:tcW w:w="2070" w:type="dxa"/>
          </w:tcPr>
          <w:p w14:paraId="6444502B" w14:textId="36D98665" w:rsidR="0053245D" w:rsidRPr="00E811FC" w:rsidRDefault="0053245D" w:rsidP="00904806">
            <w:pPr>
              <w:pStyle w:val="BodyText"/>
              <w:spacing w:before="120" w:after="120"/>
              <w:ind w:left="173"/>
              <w:rPr>
                <w:sz w:val="26"/>
              </w:rPr>
            </w:pPr>
            <w:r w:rsidRPr="00E811FC">
              <w:rPr>
                <w:rFonts w:ascii="Gadugi" w:eastAsia="Gadugi" w:hAnsi="Gadugi" w:cs="Gadugi"/>
                <w:sz w:val="26"/>
                <w:lang w:val="fr-CA" w:bidi="fr-CA"/>
              </w:rPr>
              <w:t>CETES</w:t>
            </w:r>
          </w:p>
        </w:tc>
        <w:tc>
          <w:tcPr>
            <w:tcW w:w="6390" w:type="dxa"/>
          </w:tcPr>
          <w:p w14:paraId="2BC4807B" w14:textId="206C051B" w:rsidR="0053245D" w:rsidRPr="00E811FC" w:rsidRDefault="0053245D" w:rsidP="00904806">
            <w:pPr>
              <w:pStyle w:val="BodyText"/>
              <w:spacing w:before="120" w:after="120"/>
              <w:rPr>
                <w:sz w:val="26"/>
              </w:rPr>
            </w:pPr>
            <w:r w:rsidRPr="00E811FC">
              <w:rPr>
                <w:rFonts w:ascii="Gadugi" w:eastAsia="Gadugi" w:hAnsi="Gadugi" w:cs="Gadugi"/>
                <w:sz w:val="26"/>
                <w:lang w:val="fr-CA" w:bidi="fr-CA"/>
              </w:rPr>
              <w:t>Conseil d’examen des taux des entreprises de service au Nunavut</w:t>
            </w:r>
          </w:p>
        </w:tc>
      </w:tr>
      <w:tr w:rsidR="0053245D" w14:paraId="0351DD53" w14:textId="77777777" w:rsidTr="003C51FD">
        <w:tc>
          <w:tcPr>
            <w:tcW w:w="2070" w:type="dxa"/>
          </w:tcPr>
          <w:p w14:paraId="1E278347" w14:textId="3ABFFF5E" w:rsidR="0053245D" w:rsidRPr="00E811FC" w:rsidRDefault="0053245D" w:rsidP="00904806">
            <w:pPr>
              <w:pStyle w:val="BodyText"/>
              <w:spacing w:before="120" w:after="120"/>
              <w:ind w:left="173"/>
              <w:rPr>
                <w:sz w:val="26"/>
              </w:rPr>
            </w:pPr>
            <w:r w:rsidRPr="009A35CC">
              <w:rPr>
                <w:rFonts w:ascii="Gadugi" w:eastAsia="Gadugi" w:hAnsi="Gadugi" w:cs="Gadugi"/>
                <w:i/>
                <w:sz w:val="26"/>
                <w:lang w:val="fr-CA" w:bidi="fr-CA"/>
              </w:rPr>
              <w:t>Loi sur le CETES</w:t>
            </w:r>
          </w:p>
        </w:tc>
        <w:tc>
          <w:tcPr>
            <w:tcW w:w="6390" w:type="dxa"/>
          </w:tcPr>
          <w:p w14:paraId="6CE4099E" w14:textId="72B49768" w:rsidR="0053245D" w:rsidRPr="00E811FC" w:rsidRDefault="0053245D" w:rsidP="00904806">
            <w:pPr>
              <w:pStyle w:val="BodyText"/>
              <w:spacing w:before="120" w:after="120"/>
              <w:rPr>
                <w:sz w:val="26"/>
              </w:rPr>
            </w:pPr>
            <w:r w:rsidRPr="002F073F">
              <w:rPr>
                <w:rFonts w:ascii="Gadugi" w:eastAsia="Gadugi" w:hAnsi="Gadugi" w:cs="Gadugi"/>
                <w:i/>
                <w:sz w:val="26"/>
                <w:lang w:val="fr-CA" w:bidi="fr-CA"/>
              </w:rPr>
              <w:t>Loi sur le conseil d’examen des taux des entreprises de service</w:t>
            </w:r>
          </w:p>
        </w:tc>
      </w:tr>
      <w:tr w:rsidR="0053245D" w14:paraId="0CE846F6" w14:textId="77777777" w:rsidTr="003C51FD">
        <w:tc>
          <w:tcPr>
            <w:tcW w:w="2070" w:type="dxa"/>
          </w:tcPr>
          <w:p w14:paraId="35719137" w14:textId="15215DF4" w:rsidR="0053245D" w:rsidRPr="00E811FC" w:rsidRDefault="0053245D" w:rsidP="00C70E1E">
            <w:pPr>
              <w:pStyle w:val="BodyText"/>
              <w:spacing w:before="120" w:after="120"/>
              <w:ind w:left="173"/>
              <w:rPr>
                <w:sz w:val="26"/>
              </w:rPr>
            </w:pPr>
          </w:p>
        </w:tc>
        <w:tc>
          <w:tcPr>
            <w:tcW w:w="6390" w:type="dxa"/>
          </w:tcPr>
          <w:p w14:paraId="60DCAD11" w14:textId="3C1E2625" w:rsidR="0053245D" w:rsidRPr="00E811FC" w:rsidRDefault="0053245D" w:rsidP="00C70E1E">
            <w:pPr>
              <w:pStyle w:val="BodyText"/>
              <w:spacing w:before="120" w:after="120"/>
              <w:rPr>
                <w:sz w:val="26"/>
              </w:rPr>
            </w:pPr>
          </w:p>
        </w:tc>
      </w:tr>
    </w:tbl>
    <w:p w14:paraId="22A1639C" w14:textId="77777777" w:rsidR="00EB459A" w:rsidRDefault="00EB459A">
      <w:pPr>
        <w:pStyle w:val="BodyText"/>
        <w:rPr>
          <w:b/>
          <w:sz w:val="26"/>
        </w:rPr>
      </w:pPr>
    </w:p>
    <w:p w14:paraId="2D9D6A67" w14:textId="77777777" w:rsidR="00A37080" w:rsidRDefault="00A37080" w:rsidP="00A37080">
      <w:pPr>
        <w:pStyle w:val="BodyText"/>
      </w:pPr>
    </w:p>
    <w:p w14:paraId="56EBA0A1" w14:textId="77777777" w:rsidR="00EB459A" w:rsidRDefault="00EB459A">
      <w:pPr>
        <w:spacing w:line="480" w:lineRule="auto"/>
        <w:sectPr w:rsidR="00EB459A" w:rsidSect="00B23850">
          <w:headerReference w:type="default" r:id="rId17"/>
          <w:footerReference w:type="default" r:id="rId18"/>
          <w:pgSz w:w="12240" w:h="15840"/>
          <w:pgMar w:top="1500" w:right="940" w:bottom="280" w:left="1320" w:header="720" w:footer="720" w:gutter="0"/>
          <w:cols w:space="720"/>
        </w:sectPr>
      </w:pPr>
    </w:p>
    <w:p w14:paraId="287E12D6" w14:textId="29BE6150" w:rsidR="00EB459A" w:rsidRDefault="00B940B3">
      <w:pPr>
        <w:pStyle w:val="Heading1"/>
        <w:spacing w:before="60"/>
        <w:ind w:right="377"/>
        <w:rPr>
          <w:rFonts w:ascii="Times New Roman"/>
          <w:sz w:val="24"/>
          <w:szCs w:val="24"/>
        </w:rPr>
      </w:pPr>
      <w:hyperlink w:anchor="_bookmark0" w:history="1">
        <w:r w:rsidR="00632157" w:rsidRPr="009A35CC">
          <w:rPr>
            <w:rFonts w:ascii="Gadugi" w:eastAsia="Gadugi" w:hAnsi="Gadugi" w:cs="Gadugi"/>
            <w:sz w:val="24"/>
            <w:lang w:val="fr-CA" w:bidi="fr-CA"/>
          </w:rPr>
          <w:t>TABLE DES MATIÈRES</w:t>
        </w:r>
      </w:hyperlink>
    </w:p>
    <w:p w14:paraId="07A80751" w14:textId="6DA13A9C" w:rsidR="00C0030A" w:rsidRDefault="00C0030A" w:rsidP="00290E8E"/>
    <w:p w14:paraId="53B58523" w14:textId="00DA99A1" w:rsidR="00C849C1" w:rsidRDefault="00C0030A">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r>
        <w:rPr>
          <w:rFonts w:ascii="Gadugi" w:eastAsia="Gadugi" w:hAnsi="Gadugi" w:cs="Gadugi"/>
          <w:b w:val="0"/>
          <w:lang w:val="fr-CA" w:bidi="fr-CA"/>
        </w:rPr>
        <w:fldChar w:fldCharType="begin"/>
      </w:r>
      <w:r>
        <w:rPr>
          <w:rFonts w:ascii="Gadugi" w:eastAsia="Gadugi" w:hAnsi="Gadugi" w:cs="Gadugi"/>
          <w:lang w:val="fr-CA" w:bidi="fr-CA"/>
        </w:rPr>
        <w:instrText xml:space="preserve"> TOC \h \z \t "URRC_Heading 1,1,URRC_Heading 2,2" </w:instrText>
      </w:r>
      <w:r>
        <w:rPr>
          <w:rFonts w:ascii="Gadugi" w:eastAsia="Gadugi" w:hAnsi="Gadugi" w:cs="Gadugi"/>
          <w:b w:val="0"/>
          <w:lang w:val="fr-CA" w:bidi="fr-CA"/>
        </w:rPr>
        <w:fldChar w:fldCharType="separate"/>
      </w:r>
      <w:hyperlink w:anchor="_Toc153553334" w:history="1">
        <w:r w:rsidR="00C849C1" w:rsidRPr="006A6308">
          <w:rPr>
            <w:rStyle w:val="Hyperlink"/>
            <w:rFonts w:ascii="Gadugi" w:eastAsia="Gadugi" w:hAnsi="Gadugi" w:cs="Gadugi"/>
            <w:noProof/>
            <w:lang w:val="fr-CA" w:bidi="fr-CA"/>
          </w:rPr>
          <w:t>1.0</w:t>
        </w:r>
        <w:r w:rsidR="00C849C1">
          <w:rPr>
            <w:rFonts w:ascii="Gadugi" w:eastAsia="Gadugi" w:hAnsi="Gadugi" w:cs="Gadugi"/>
            <w:b w:val="0"/>
            <w:caps w:val="0"/>
            <w:noProof/>
            <w:kern w:val="2"/>
            <w:sz w:val="22"/>
            <w:lang w:val="fr-CA" w:bidi="fr-CA"/>
            <w14:ligatures w14:val="standardContextual"/>
          </w:rPr>
          <w:tab/>
        </w:r>
        <w:r w:rsidR="00C849C1" w:rsidRPr="006A6308">
          <w:rPr>
            <w:rStyle w:val="Hyperlink"/>
            <w:rFonts w:ascii="Gadugi" w:eastAsia="Gadugi" w:hAnsi="Gadugi" w:cs="Gadugi"/>
            <w:noProof/>
            <w:lang w:val="fr-CA" w:bidi="fr-CA"/>
          </w:rPr>
          <w:t>The APPLICATION</w:t>
        </w:r>
        <w:r w:rsidR="00C849C1">
          <w:rPr>
            <w:rFonts w:ascii="Gadugi" w:eastAsia="Gadugi" w:hAnsi="Gadugi" w:cs="Gadugi"/>
            <w:noProof/>
            <w:webHidden/>
            <w:lang w:val="fr-CA" w:bidi="fr-CA"/>
          </w:rPr>
          <w:tab/>
        </w:r>
        <w:r w:rsidR="00C849C1">
          <w:rPr>
            <w:rFonts w:ascii="Gadugi" w:eastAsia="Gadugi" w:hAnsi="Gadugi" w:cs="Gadugi"/>
            <w:noProof/>
            <w:webHidden/>
            <w:lang w:val="fr-CA" w:bidi="fr-CA"/>
          </w:rPr>
          <w:fldChar w:fldCharType="begin"/>
        </w:r>
        <w:r w:rsidR="00C849C1">
          <w:rPr>
            <w:rFonts w:ascii="Gadugi" w:eastAsia="Gadugi" w:hAnsi="Gadugi" w:cs="Gadugi"/>
            <w:noProof/>
            <w:webHidden/>
            <w:lang w:val="fr-CA" w:bidi="fr-CA"/>
          </w:rPr>
          <w:instrText xml:space="preserve"> PAGEREF _Toc153553334 \h </w:instrText>
        </w:r>
        <w:r w:rsidR="00C849C1">
          <w:rPr>
            <w:rFonts w:ascii="Gadugi" w:eastAsia="Gadugi" w:hAnsi="Gadugi" w:cs="Gadugi"/>
            <w:noProof/>
            <w:webHidden/>
            <w:lang w:val="fr-CA" w:bidi="fr-CA"/>
          </w:rPr>
        </w:r>
        <w:r w:rsidR="00C849C1">
          <w:rPr>
            <w:rFonts w:ascii="Gadugi" w:eastAsia="Gadugi" w:hAnsi="Gadugi" w:cs="Gadugi"/>
            <w:noProof/>
            <w:webHidden/>
            <w:lang w:val="fr-CA" w:bidi="fr-CA"/>
          </w:rPr>
          <w:fldChar w:fldCharType="separate"/>
        </w:r>
        <w:r w:rsidR="00C849C1">
          <w:rPr>
            <w:rFonts w:ascii="Gadugi" w:eastAsia="Gadugi" w:hAnsi="Gadugi" w:cs="Gadugi"/>
            <w:noProof/>
            <w:webHidden/>
            <w:lang w:val="fr-CA" w:bidi="fr-CA"/>
          </w:rPr>
          <w:t>1</w:t>
        </w:r>
        <w:r w:rsidR="00C849C1">
          <w:rPr>
            <w:rFonts w:ascii="Gadugi" w:eastAsia="Gadugi" w:hAnsi="Gadugi" w:cs="Gadugi"/>
            <w:noProof/>
            <w:webHidden/>
            <w:lang w:val="fr-CA" w:bidi="fr-CA"/>
          </w:rPr>
          <w:fldChar w:fldCharType="end"/>
        </w:r>
      </w:hyperlink>
    </w:p>
    <w:p w14:paraId="75C16880" w14:textId="024AB93A" w:rsidR="00C849C1" w:rsidRDefault="00B940B3">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5" w:history="1">
        <w:r w:rsidR="00C849C1" w:rsidRPr="006A6308">
          <w:rPr>
            <w:rStyle w:val="Hyperlink"/>
            <w:rFonts w:ascii="Gadugi" w:eastAsia="Gadugi" w:hAnsi="Gadugi" w:cs="Gadugi"/>
            <w:noProof/>
            <w:lang w:val="fr-CA" w:bidi="fr-CA"/>
          </w:rPr>
          <w:t>2.0</w:t>
        </w:r>
        <w:r w:rsidR="00C849C1">
          <w:rPr>
            <w:rFonts w:ascii="Gadugi" w:eastAsia="Gadugi" w:hAnsi="Gadugi" w:cs="Gadugi"/>
            <w:b w:val="0"/>
            <w:caps w:val="0"/>
            <w:noProof/>
            <w:kern w:val="2"/>
            <w:sz w:val="22"/>
            <w:lang w:val="fr-CA" w:bidi="fr-CA"/>
            <w14:ligatures w14:val="standardContextual"/>
          </w:rPr>
          <w:tab/>
        </w:r>
        <w:r w:rsidR="00C849C1" w:rsidRPr="006A6308">
          <w:rPr>
            <w:rStyle w:val="Hyperlink"/>
            <w:rFonts w:ascii="Gadugi" w:eastAsia="Gadugi" w:hAnsi="Gadugi" w:cs="Gadugi"/>
            <w:noProof/>
            <w:lang w:val="fr-CA" w:bidi="fr-CA"/>
          </w:rPr>
          <w:t>BACKGROUND</w:t>
        </w:r>
        <w:r w:rsidR="00C849C1">
          <w:rPr>
            <w:rFonts w:ascii="Gadugi" w:eastAsia="Gadugi" w:hAnsi="Gadugi" w:cs="Gadugi"/>
            <w:noProof/>
            <w:webHidden/>
            <w:lang w:val="fr-CA" w:bidi="fr-CA"/>
          </w:rPr>
          <w:tab/>
        </w:r>
        <w:r w:rsidR="00C849C1">
          <w:rPr>
            <w:rFonts w:ascii="Gadugi" w:eastAsia="Gadugi" w:hAnsi="Gadugi" w:cs="Gadugi"/>
            <w:noProof/>
            <w:webHidden/>
            <w:lang w:val="fr-CA" w:bidi="fr-CA"/>
          </w:rPr>
          <w:fldChar w:fldCharType="begin"/>
        </w:r>
        <w:r w:rsidR="00C849C1">
          <w:rPr>
            <w:rFonts w:ascii="Gadugi" w:eastAsia="Gadugi" w:hAnsi="Gadugi" w:cs="Gadugi"/>
            <w:noProof/>
            <w:webHidden/>
            <w:lang w:val="fr-CA" w:bidi="fr-CA"/>
          </w:rPr>
          <w:instrText xml:space="preserve"> PAGEREF _Toc153553335 \h </w:instrText>
        </w:r>
        <w:r w:rsidR="00C849C1">
          <w:rPr>
            <w:rFonts w:ascii="Gadugi" w:eastAsia="Gadugi" w:hAnsi="Gadugi" w:cs="Gadugi"/>
            <w:noProof/>
            <w:webHidden/>
            <w:lang w:val="fr-CA" w:bidi="fr-CA"/>
          </w:rPr>
        </w:r>
        <w:r w:rsidR="00C849C1">
          <w:rPr>
            <w:rFonts w:ascii="Gadugi" w:eastAsia="Gadugi" w:hAnsi="Gadugi" w:cs="Gadugi"/>
            <w:noProof/>
            <w:webHidden/>
            <w:lang w:val="fr-CA" w:bidi="fr-CA"/>
          </w:rPr>
          <w:fldChar w:fldCharType="separate"/>
        </w:r>
        <w:r w:rsidR="00C849C1">
          <w:rPr>
            <w:rFonts w:ascii="Gadugi" w:eastAsia="Gadugi" w:hAnsi="Gadugi" w:cs="Gadugi"/>
            <w:noProof/>
            <w:webHidden/>
            <w:lang w:val="fr-CA" w:bidi="fr-CA"/>
          </w:rPr>
          <w:t>1</w:t>
        </w:r>
        <w:r w:rsidR="00C849C1">
          <w:rPr>
            <w:rFonts w:ascii="Gadugi" w:eastAsia="Gadugi" w:hAnsi="Gadugi" w:cs="Gadugi"/>
            <w:noProof/>
            <w:webHidden/>
            <w:lang w:val="fr-CA" w:bidi="fr-CA"/>
          </w:rPr>
          <w:fldChar w:fldCharType="end"/>
        </w:r>
      </w:hyperlink>
    </w:p>
    <w:p w14:paraId="17D30012" w14:textId="3DEAC334" w:rsidR="00C849C1" w:rsidRDefault="00B940B3">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6" w:history="1">
        <w:r w:rsidR="00C849C1" w:rsidRPr="006A6308">
          <w:rPr>
            <w:rStyle w:val="Hyperlink"/>
            <w:rFonts w:ascii="Gadugi" w:eastAsia="Gadugi" w:hAnsi="Gadugi" w:cs="Gadugi"/>
            <w:noProof/>
            <w:lang w:val="fr-CA" w:bidi="fr-CA"/>
          </w:rPr>
          <w:t>3.0</w:t>
        </w:r>
        <w:r w:rsidR="00C849C1">
          <w:rPr>
            <w:rFonts w:ascii="Gadugi" w:eastAsia="Gadugi" w:hAnsi="Gadugi" w:cs="Gadugi"/>
            <w:b w:val="0"/>
            <w:caps w:val="0"/>
            <w:noProof/>
            <w:kern w:val="2"/>
            <w:sz w:val="22"/>
            <w:lang w:val="fr-CA" w:bidi="fr-CA"/>
            <w14:ligatures w14:val="standardContextual"/>
          </w:rPr>
          <w:tab/>
        </w:r>
        <w:r w:rsidR="00C849C1" w:rsidRPr="006A6308">
          <w:rPr>
            <w:rStyle w:val="Hyperlink"/>
            <w:rFonts w:ascii="Gadugi" w:eastAsia="Gadugi" w:hAnsi="Gadugi" w:cs="Gadugi"/>
            <w:noProof/>
            <w:lang w:val="fr-CA" w:bidi="fr-CA"/>
          </w:rPr>
          <w:t>PROCESS</w:t>
        </w:r>
        <w:r w:rsidR="00C849C1">
          <w:rPr>
            <w:rFonts w:ascii="Gadugi" w:eastAsia="Gadugi" w:hAnsi="Gadugi" w:cs="Gadugi"/>
            <w:noProof/>
            <w:webHidden/>
            <w:lang w:val="fr-CA" w:bidi="fr-CA"/>
          </w:rPr>
          <w:tab/>
        </w:r>
        <w:r w:rsidR="00C849C1">
          <w:rPr>
            <w:rFonts w:ascii="Gadugi" w:eastAsia="Gadugi" w:hAnsi="Gadugi" w:cs="Gadugi"/>
            <w:noProof/>
            <w:webHidden/>
            <w:lang w:val="fr-CA" w:bidi="fr-CA"/>
          </w:rPr>
          <w:fldChar w:fldCharType="begin"/>
        </w:r>
        <w:r w:rsidR="00C849C1">
          <w:rPr>
            <w:rFonts w:ascii="Gadugi" w:eastAsia="Gadugi" w:hAnsi="Gadugi" w:cs="Gadugi"/>
            <w:noProof/>
            <w:webHidden/>
            <w:lang w:val="fr-CA" w:bidi="fr-CA"/>
          </w:rPr>
          <w:instrText xml:space="preserve"> PAGEREF _Toc153553336 \h </w:instrText>
        </w:r>
        <w:r w:rsidR="00C849C1">
          <w:rPr>
            <w:rFonts w:ascii="Gadugi" w:eastAsia="Gadugi" w:hAnsi="Gadugi" w:cs="Gadugi"/>
            <w:noProof/>
            <w:webHidden/>
            <w:lang w:val="fr-CA" w:bidi="fr-CA"/>
          </w:rPr>
        </w:r>
        <w:r w:rsidR="00C849C1">
          <w:rPr>
            <w:rFonts w:ascii="Gadugi" w:eastAsia="Gadugi" w:hAnsi="Gadugi" w:cs="Gadugi"/>
            <w:noProof/>
            <w:webHidden/>
            <w:lang w:val="fr-CA" w:bidi="fr-CA"/>
          </w:rPr>
          <w:fldChar w:fldCharType="separate"/>
        </w:r>
        <w:r w:rsidR="00C849C1">
          <w:rPr>
            <w:rFonts w:ascii="Gadugi" w:eastAsia="Gadugi" w:hAnsi="Gadugi" w:cs="Gadugi"/>
            <w:noProof/>
            <w:webHidden/>
            <w:lang w:val="fr-CA" w:bidi="fr-CA"/>
          </w:rPr>
          <w:t>3</w:t>
        </w:r>
        <w:r w:rsidR="00C849C1">
          <w:rPr>
            <w:rFonts w:ascii="Gadugi" w:eastAsia="Gadugi" w:hAnsi="Gadugi" w:cs="Gadugi"/>
            <w:noProof/>
            <w:webHidden/>
            <w:lang w:val="fr-CA" w:bidi="fr-CA"/>
          </w:rPr>
          <w:fldChar w:fldCharType="end"/>
        </w:r>
      </w:hyperlink>
    </w:p>
    <w:p w14:paraId="14B678E6" w14:textId="4DC63930" w:rsidR="00C849C1" w:rsidRDefault="00B940B3">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7" w:history="1">
        <w:r w:rsidR="00C849C1" w:rsidRPr="006A6308">
          <w:rPr>
            <w:rStyle w:val="Hyperlink"/>
            <w:rFonts w:ascii="Gadugi" w:eastAsia="Gadugi" w:hAnsi="Gadugi" w:cs="Gadugi"/>
            <w:noProof/>
            <w:lang w:val="fr-CA" w:bidi="fr-CA"/>
          </w:rPr>
          <w:t>4.0</w:t>
        </w:r>
        <w:r w:rsidR="00C849C1">
          <w:rPr>
            <w:rFonts w:ascii="Gadugi" w:eastAsia="Gadugi" w:hAnsi="Gadugi" w:cs="Gadugi"/>
            <w:b w:val="0"/>
            <w:caps w:val="0"/>
            <w:noProof/>
            <w:kern w:val="2"/>
            <w:sz w:val="22"/>
            <w:lang w:val="fr-CA" w:bidi="fr-CA"/>
            <w14:ligatures w14:val="standardContextual"/>
          </w:rPr>
          <w:tab/>
        </w:r>
        <w:r w:rsidR="00C849C1" w:rsidRPr="006A6308">
          <w:rPr>
            <w:rStyle w:val="Hyperlink"/>
            <w:rFonts w:ascii="Gadugi" w:eastAsia="Gadugi" w:hAnsi="Gadugi" w:cs="Gadugi"/>
            <w:noProof/>
            <w:lang w:val="fr-CA" w:bidi="fr-CA"/>
          </w:rPr>
          <w:t>CONSIDERATION OF THE APPLICATION</w:t>
        </w:r>
        <w:r w:rsidR="00C849C1">
          <w:rPr>
            <w:rFonts w:ascii="Gadugi" w:eastAsia="Gadugi" w:hAnsi="Gadugi" w:cs="Gadugi"/>
            <w:noProof/>
            <w:webHidden/>
            <w:lang w:val="fr-CA" w:bidi="fr-CA"/>
          </w:rPr>
          <w:tab/>
        </w:r>
        <w:r w:rsidR="00C849C1">
          <w:rPr>
            <w:rFonts w:ascii="Gadugi" w:eastAsia="Gadugi" w:hAnsi="Gadugi" w:cs="Gadugi"/>
            <w:noProof/>
            <w:webHidden/>
            <w:lang w:val="fr-CA" w:bidi="fr-CA"/>
          </w:rPr>
          <w:fldChar w:fldCharType="begin"/>
        </w:r>
        <w:r w:rsidR="00C849C1">
          <w:rPr>
            <w:rFonts w:ascii="Gadugi" w:eastAsia="Gadugi" w:hAnsi="Gadugi" w:cs="Gadugi"/>
            <w:noProof/>
            <w:webHidden/>
            <w:lang w:val="fr-CA" w:bidi="fr-CA"/>
          </w:rPr>
          <w:instrText xml:space="preserve"> PAGEREF _Toc153553337 \h </w:instrText>
        </w:r>
        <w:r w:rsidR="00C849C1">
          <w:rPr>
            <w:rFonts w:ascii="Gadugi" w:eastAsia="Gadugi" w:hAnsi="Gadugi" w:cs="Gadugi"/>
            <w:noProof/>
            <w:webHidden/>
            <w:lang w:val="fr-CA" w:bidi="fr-CA"/>
          </w:rPr>
        </w:r>
        <w:r w:rsidR="00C849C1">
          <w:rPr>
            <w:rFonts w:ascii="Gadugi" w:eastAsia="Gadugi" w:hAnsi="Gadugi" w:cs="Gadugi"/>
            <w:noProof/>
            <w:webHidden/>
            <w:lang w:val="fr-CA" w:bidi="fr-CA"/>
          </w:rPr>
          <w:fldChar w:fldCharType="separate"/>
        </w:r>
        <w:r w:rsidR="00C849C1">
          <w:rPr>
            <w:rFonts w:ascii="Gadugi" w:eastAsia="Gadugi" w:hAnsi="Gadugi" w:cs="Gadugi"/>
            <w:noProof/>
            <w:webHidden/>
            <w:lang w:val="fr-CA" w:bidi="fr-CA"/>
          </w:rPr>
          <w:t>4</w:t>
        </w:r>
        <w:r w:rsidR="00C849C1">
          <w:rPr>
            <w:rFonts w:ascii="Gadugi" w:eastAsia="Gadugi" w:hAnsi="Gadugi" w:cs="Gadugi"/>
            <w:noProof/>
            <w:webHidden/>
            <w:lang w:val="fr-CA" w:bidi="fr-CA"/>
          </w:rPr>
          <w:fldChar w:fldCharType="end"/>
        </w:r>
      </w:hyperlink>
    </w:p>
    <w:p w14:paraId="3748D889" w14:textId="7E14E640" w:rsidR="00C849C1" w:rsidRDefault="00B940B3">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8" w:history="1">
        <w:r w:rsidR="00C849C1" w:rsidRPr="006A6308">
          <w:rPr>
            <w:rStyle w:val="Hyperlink"/>
            <w:rFonts w:ascii="Gadugi" w:eastAsia="Gadugi" w:hAnsi="Gadugi" w:cs="Gadugi"/>
            <w:noProof/>
            <w:lang w:val="fr-CA" w:bidi="fr-CA"/>
          </w:rPr>
          <w:t>5.0</w:t>
        </w:r>
        <w:r w:rsidR="00C849C1">
          <w:rPr>
            <w:rFonts w:ascii="Gadugi" w:eastAsia="Gadugi" w:hAnsi="Gadugi" w:cs="Gadugi"/>
            <w:b w:val="0"/>
            <w:caps w:val="0"/>
            <w:noProof/>
            <w:kern w:val="2"/>
            <w:sz w:val="22"/>
            <w:lang w:val="fr-CA" w:bidi="fr-CA"/>
            <w14:ligatures w14:val="standardContextual"/>
          </w:rPr>
          <w:tab/>
        </w:r>
        <w:r w:rsidR="00C849C1" w:rsidRPr="006A6308">
          <w:rPr>
            <w:rStyle w:val="Hyperlink"/>
            <w:rFonts w:ascii="Gadugi" w:eastAsia="Gadugi" w:hAnsi="Gadugi" w:cs="Gadugi"/>
            <w:noProof/>
            <w:lang w:val="fr-CA" w:bidi="fr-CA"/>
          </w:rPr>
          <w:t>URRC RECOMMENDATIONS</w:t>
        </w:r>
        <w:r w:rsidR="00C849C1">
          <w:rPr>
            <w:rFonts w:ascii="Gadugi" w:eastAsia="Gadugi" w:hAnsi="Gadugi" w:cs="Gadugi"/>
            <w:noProof/>
            <w:webHidden/>
            <w:lang w:val="fr-CA" w:bidi="fr-CA"/>
          </w:rPr>
          <w:tab/>
        </w:r>
        <w:r w:rsidR="00C849C1">
          <w:rPr>
            <w:rFonts w:ascii="Gadugi" w:eastAsia="Gadugi" w:hAnsi="Gadugi" w:cs="Gadugi"/>
            <w:noProof/>
            <w:webHidden/>
            <w:lang w:val="fr-CA" w:bidi="fr-CA"/>
          </w:rPr>
          <w:fldChar w:fldCharType="begin"/>
        </w:r>
        <w:r w:rsidR="00C849C1">
          <w:rPr>
            <w:rFonts w:ascii="Gadugi" w:eastAsia="Gadugi" w:hAnsi="Gadugi" w:cs="Gadugi"/>
            <w:noProof/>
            <w:webHidden/>
            <w:lang w:val="fr-CA" w:bidi="fr-CA"/>
          </w:rPr>
          <w:instrText xml:space="preserve"> PAGEREF _Toc153553338 \h </w:instrText>
        </w:r>
        <w:r w:rsidR="00C849C1">
          <w:rPr>
            <w:rFonts w:ascii="Gadugi" w:eastAsia="Gadugi" w:hAnsi="Gadugi" w:cs="Gadugi"/>
            <w:noProof/>
            <w:webHidden/>
            <w:lang w:val="fr-CA" w:bidi="fr-CA"/>
          </w:rPr>
        </w:r>
        <w:r w:rsidR="00C849C1">
          <w:rPr>
            <w:rFonts w:ascii="Gadugi" w:eastAsia="Gadugi" w:hAnsi="Gadugi" w:cs="Gadugi"/>
            <w:noProof/>
            <w:webHidden/>
            <w:lang w:val="fr-CA" w:bidi="fr-CA"/>
          </w:rPr>
          <w:fldChar w:fldCharType="separate"/>
        </w:r>
        <w:r w:rsidR="00C849C1">
          <w:rPr>
            <w:rFonts w:ascii="Gadugi" w:eastAsia="Gadugi" w:hAnsi="Gadugi" w:cs="Gadugi"/>
            <w:noProof/>
            <w:webHidden/>
            <w:lang w:val="fr-CA" w:bidi="fr-CA"/>
          </w:rPr>
          <w:t>9</w:t>
        </w:r>
        <w:r w:rsidR="00C849C1">
          <w:rPr>
            <w:rFonts w:ascii="Gadugi" w:eastAsia="Gadugi" w:hAnsi="Gadugi" w:cs="Gadugi"/>
            <w:noProof/>
            <w:webHidden/>
            <w:lang w:val="fr-CA" w:bidi="fr-CA"/>
          </w:rPr>
          <w:fldChar w:fldCharType="end"/>
        </w:r>
      </w:hyperlink>
    </w:p>
    <w:p w14:paraId="5D52750C" w14:textId="00A7D677" w:rsidR="00C0030A" w:rsidRDefault="00C0030A" w:rsidP="00290E8E">
      <w:r>
        <w:rPr>
          <w:rFonts w:ascii="Gadugi" w:eastAsia="Gadugi" w:hAnsi="Gadugi" w:cs="Gadugi"/>
          <w:lang w:val="fr-CA" w:bidi="fr-CA"/>
        </w:rPr>
        <w:fldChar w:fldCharType="end"/>
      </w:r>
    </w:p>
    <w:p w14:paraId="5FC67646" w14:textId="5BD9EBF1" w:rsidR="00292A95" w:rsidRDefault="00292A95">
      <w:pPr>
        <w:pStyle w:val="TOC2"/>
        <w:tabs>
          <w:tab w:val="left" w:pos="839"/>
          <w:tab w:val="left" w:leader="dot" w:pos="9359"/>
        </w:tabs>
      </w:pPr>
    </w:p>
    <w:p w14:paraId="6695E233" w14:textId="2F654A23" w:rsidR="00EB459A" w:rsidRDefault="00EB459A">
      <w:pPr>
        <w:pStyle w:val="TOC2"/>
        <w:tabs>
          <w:tab w:val="left" w:pos="839"/>
          <w:tab w:val="left" w:leader="dot" w:pos="9359"/>
        </w:tabs>
      </w:pPr>
    </w:p>
    <w:p w14:paraId="1F13AAE0" w14:textId="77777777" w:rsidR="00EB459A" w:rsidRDefault="00EB459A">
      <w:pPr>
        <w:sectPr w:rsidR="00EB459A" w:rsidSect="00B23850">
          <w:headerReference w:type="default" r:id="rId19"/>
          <w:footerReference w:type="default" r:id="rId20"/>
          <w:pgSz w:w="12240" w:h="15840"/>
          <w:pgMar w:top="1380" w:right="940" w:bottom="280" w:left="1320" w:header="720" w:footer="720" w:gutter="0"/>
          <w:pgNumType w:start="1"/>
          <w:cols w:space="720"/>
        </w:sectPr>
      </w:pPr>
    </w:p>
    <w:p w14:paraId="20264FAA" w14:textId="443D37FC" w:rsidR="00E87B21" w:rsidRDefault="00E87B21" w:rsidP="00172A40">
      <w:pPr>
        <w:pStyle w:val="URRCHeading1"/>
      </w:pPr>
      <w:bookmarkStart w:id="7" w:name="1.0_The_Application"/>
      <w:bookmarkStart w:id="8" w:name="_bookmark1"/>
      <w:bookmarkEnd w:id="7"/>
      <w:bookmarkEnd w:id="8"/>
      <w:r>
        <w:rPr>
          <w:rFonts w:ascii="Gadugi" w:eastAsia="Gadugi" w:hAnsi="Gadugi" w:cs="Gadugi"/>
          <w:lang w:val="fr-CA" w:bidi="fr-CA"/>
        </w:rPr>
        <w:lastRenderedPageBreak/>
        <w:t>La DEMANDE</w:t>
      </w:r>
    </w:p>
    <w:p w14:paraId="1DC6BFAD" w14:textId="77777777" w:rsidR="00EB459A" w:rsidRPr="00001B11" w:rsidRDefault="00EB459A" w:rsidP="00E87B21">
      <w:pPr>
        <w:rPr>
          <w:sz w:val="24"/>
          <w:szCs w:val="24"/>
        </w:rPr>
      </w:pPr>
    </w:p>
    <w:p w14:paraId="6CB40784" w14:textId="66C9CBB4" w:rsidR="00EB459A" w:rsidRDefault="00632157" w:rsidP="00F82D6C">
      <w:pPr>
        <w:pStyle w:val="BodyText"/>
        <w:widowControl/>
        <w:numPr>
          <w:ilvl w:val="0"/>
          <w:numId w:val="4"/>
        </w:numPr>
        <w:spacing w:after="120" w:line="360" w:lineRule="auto"/>
        <w:ind w:left="907" w:hanging="547"/>
        <w:jc w:val="both"/>
      </w:pPr>
      <w:r>
        <w:rPr>
          <w:rFonts w:ascii="Gadugi" w:eastAsia="Gadugi" w:hAnsi="Gadugi" w:cs="Gadugi"/>
          <w:lang w:val="fr-CA" w:bidi="fr-CA"/>
        </w:rPr>
        <w:t xml:space="preserve">En vertu du paragraphe 12(1) de la </w:t>
      </w:r>
      <w:r>
        <w:rPr>
          <w:rFonts w:ascii="Gadugi" w:eastAsia="Gadugi" w:hAnsi="Gadugi" w:cs="Gadugi"/>
          <w:i/>
          <w:lang w:val="fr-CA" w:bidi="fr-CA"/>
        </w:rPr>
        <w:t xml:space="preserve">Loi sur le conseil d’examen des taux des entreprises de service </w:t>
      </w:r>
      <w:r>
        <w:rPr>
          <w:rFonts w:ascii="Gadugi" w:eastAsia="Gadugi" w:hAnsi="Gadugi" w:cs="Gadugi"/>
          <w:lang w:val="fr-CA" w:bidi="fr-CA"/>
        </w:rPr>
        <w:t>(</w:t>
      </w:r>
      <w:r>
        <w:rPr>
          <w:rFonts w:ascii="Gadugi" w:eastAsia="Gadugi" w:hAnsi="Gadugi" w:cs="Gadugi"/>
          <w:i/>
          <w:lang w:val="fr-CA" w:bidi="fr-CA"/>
        </w:rPr>
        <w:t>Loi sur le CETES</w:t>
      </w:r>
      <w:r>
        <w:rPr>
          <w:rFonts w:ascii="Gadugi" w:eastAsia="Gadugi" w:hAnsi="Gadugi" w:cs="Gadugi"/>
          <w:lang w:val="fr-CA" w:bidi="fr-CA"/>
        </w:rPr>
        <w:t xml:space="preserve">), la Société d’énergie Qulliq (SÉQ), en tant qu’entreprise de service désignée, doit obtenir l’approbation du ministre responsable de la SÉQ (ministre responsable) avant d’établir un tarif ou un taux. En retour, le ministre responsable de la SÉQ est tenu, conformément au paragraphe 12(2) de la </w:t>
      </w:r>
      <w:r>
        <w:rPr>
          <w:rFonts w:ascii="Gadugi" w:eastAsia="Gadugi" w:hAnsi="Gadugi" w:cs="Gadugi"/>
          <w:i/>
          <w:lang w:val="fr-CA" w:bidi="fr-CA"/>
        </w:rPr>
        <w:t>Loi sur le CETES</w:t>
      </w:r>
      <w:r>
        <w:rPr>
          <w:rFonts w:ascii="Gadugi" w:eastAsia="Gadugi" w:hAnsi="Gadugi" w:cs="Gadugi"/>
          <w:lang w:val="fr-CA" w:bidi="fr-CA"/>
        </w:rPr>
        <w:t>, d’obtenir l'avis du Conseil d’examen des taux des entreprises de service au Nunavut (CETES) concernant la demande du service public d’établir un tarif ou un taux.</w:t>
      </w:r>
    </w:p>
    <w:p w14:paraId="1FCF586A" w14:textId="207EADF9" w:rsidR="00CD3C29" w:rsidRDefault="00CD3C29" w:rsidP="00E43C8E">
      <w:pPr>
        <w:pStyle w:val="ListParagraph"/>
        <w:widowControl/>
        <w:numPr>
          <w:ilvl w:val="0"/>
          <w:numId w:val="4"/>
        </w:numPr>
        <w:spacing w:after="120" w:line="360" w:lineRule="auto"/>
        <w:ind w:left="907" w:hanging="547"/>
        <w:jc w:val="both"/>
        <w:rPr>
          <w:sz w:val="24"/>
          <w:szCs w:val="24"/>
        </w:rPr>
      </w:pPr>
      <w:r w:rsidRPr="00CD3C29">
        <w:rPr>
          <w:rFonts w:ascii="Gadugi" w:eastAsia="Gadugi" w:hAnsi="Gadugi" w:cs="Gadugi"/>
          <w:sz w:val="24"/>
          <w:lang w:val="fr-CA" w:bidi="fr-CA"/>
        </w:rPr>
        <w:t>Dans une lettre datée du 5 octobre 2023, la SÉQ a demandé au ministre responsable d'approuver une prévision de recettes modifiée de 156 612 millions $ pour l’exercice de référence 2022-2023 afin de tenir compte des prix plus élevés du combustible et d'approuver les tarifs modifiés d’électricité et d'éclairage public entrés en vigueur le 1</w:t>
      </w:r>
      <w:r w:rsidRPr="00CD3C29">
        <w:rPr>
          <w:rFonts w:ascii="Gadugi" w:eastAsia="Gadugi" w:hAnsi="Gadugi" w:cs="Gadugi"/>
          <w:sz w:val="24"/>
          <w:vertAlign w:val="superscript"/>
          <w:lang w:val="fr-CA" w:bidi="fr-CA"/>
        </w:rPr>
        <w:t>er </w:t>
      </w:r>
      <w:r w:rsidRPr="00CD3C29">
        <w:rPr>
          <w:rFonts w:ascii="Gadugi" w:eastAsia="Gadugi" w:hAnsi="Gadugi" w:cs="Gadugi"/>
          <w:sz w:val="24"/>
          <w:lang w:val="fr-CA" w:bidi="fr-CA"/>
        </w:rPr>
        <w:t>octobre 2023. La SÉQ a proposé une augmentation de 9,4 % des tarifs d’électricité de base, sans modification des frais aux clients ou de la prime de puissance. La SÉQ a aussi demandé l’approbation des tarifs proposés sur une base provisoire et remboursable, en vigueur au 1</w:t>
      </w:r>
      <w:r w:rsidRPr="00CD3C29">
        <w:rPr>
          <w:rFonts w:ascii="Gadugi" w:eastAsia="Gadugi" w:hAnsi="Gadugi" w:cs="Gadugi"/>
          <w:sz w:val="24"/>
          <w:vertAlign w:val="superscript"/>
          <w:lang w:val="fr-CA" w:bidi="fr-CA"/>
        </w:rPr>
        <w:t>er</w:t>
      </w:r>
      <w:r w:rsidRPr="00CD3C29">
        <w:rPr>
          <w:rFonts w:ascii="Gadugi" w:eastAsia="Gadugi" w:hAnsi="Gadugi" w:cs="Gadugi"/>
          <w:sz w:val="24"/>
          <w:lang w:val="fr-CA" w:bidi="fr-CA"/>
        </w:rPr>
        <w:t> octobre 2023, sous réserve de l’approbation finale (la demande). Dans une lettre datée du 5 octobre 2023, le ministre responsable de la SÉQ a sollicité l’avis du CETES concernant cette demande. Le 18 octobre 2023, le CETES a reçu la demande ainsi que la requête d’examen de la part du ministre responsable de la SÉQ.</w:t>
      </w:r>
    </w:p>
    <w:p w14:paraId="1DF7FD4C" w14:textId="28B74F76" w:rsidR="0026758A" w:rsidRDefault="005A478B"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fr-CA" w:bidi="fr-CA"/>
        </w:rPr>
        <w:t>Les tarifs d’électricité de base actuels de la SÉQ ont été examinés et approuvés dans le cadre de la requête en majoration tarifaire générale (RMTG) 2022/23 et sont entrés en vigueur le 1</w:t>
      </w:r>
      <w:r>
        <w:rPr>
          <w:rFonts w:ascii="Gadugi" w:eastAsia="Gadugi" w:hAnsi="Gadugi" w:cs="Gadugi"/>
          <w:sz w:val="24"/>
          <w:vertAlign w:val="superscript"/>
          <w:lang w:val="fr-CA" w:bidi="fr-CA"/>
        </w:rPr>
        <w:t>er </w:t>
      </w:r>
      <w:r>
        <w:rPr>
          <w:rFonts w:ascii="Gadugi" w:eastAsia="Gadugi" w:hAnsi="Gadugi" w:cs="Gadugi"/>
          <w:sz w:val="24"/>
          <w:lang w:val="fr-CA" w:bidi="fr-CA"/>
        </w:rPr>
        <w:t xml:space="preserve">octobre 2022. La SÉQ affirme que, depuis cette </w:t>
      </w:r>
      <w:r>
        <w:rPr>
          <w:rFonts w:ascii="Gadugi" w:eastAsia="Gadugi" w:hAnsi="Gadugi" w:cs="Gadugi"/>
          <w:sz w:val="24"/>
          <w:lang w:val="fr-CA" w:bidi="fr-CA"/>
        </w:rPr>
        <w:lastRenderedPageBreak/>
        <w:t>date, il y a eu une pression croissante sur le prix du combustible au Canada, y compris sur le prix du combustible payé par la SÉQ pour la production d'électricité. La SÉQ fait valoir que la moyenne pondérée du prix du combustible est passé de 0,96 $ le litre (L) selon la majoration tarifaire générale approuvée pour 2022-2023 à 1,18 $/L en juillet, soit une augmentation de 22,9 %. La SÉQ soutient aussi que la Division des produits pétroliers (DPP) du gouvernement du Nunavut (GN) a augmenté le prix du combustible en valeur nominale de 0,05 $/L à compter du 1</w:t>
      </w:r>
      <w:r>
        <w:rPr>
          <w:rFonts w:ascii="Gadugi" w:eastAsia="Gadugi" w:hAnsi="Gadugi" w:cs="Gadugi"/>
          <w:sz w:val="24"/>
          <w:vertAlign w:val="superscript"/>
          <w:lang w:val="fr-CA" w:bidi="fr-CA"/>
        </w:rPr>
        <w:t>er</w:t>
      </w:r>
      <w:r>
        <w:rPr>
          <w:rFonts w:ascii="Gadugi" w:eastAsia="Gadugi" w:hAnsi="Gadugi" w:cs="Gadugi"/>
          <w:sz w:val="24"/>
          <w:lang w:val="fr-CA" w:bidi="fr-CA"/>
        </w:rPr>
        <w:t xml:space="preserve"> octobre 2023.</w:t>
      </w:r>
    </w:p>
    <w:p w14:paraId="61D88192" w14:textId="1ECEEA3B" w:rsidR="005A478B" w:rsidRDefault="0026758A"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fr-CA" w:bidi="fr-CA"/>
        </w:rPr>
        <w:t>Du 1er avril 2023 au 30 septembre 2023, la SÉQ a bénéficié d’un supplément sur le taux de stabilisation du prix du combustible (TSPC) de 7,33 cents le</w:t>
      </w:r>
      <w:r>
        <w:rPr>
          <w:rFonts w:ascii="Gadugi" w:eastAsia="Gadugi" w:hAnsi="Gadugi" w:cs="Gadugi"/>
          <w:lang w:val="fr-CA" w:bidi="fr-CA"/>
        </w:rPr>
        <w:t xml:space="preserve"> kilowattheure</w:t>
      </w:r>
      <w:r>
        <w:rPr>
          <w:rFonts w:ascii="Gadugi" w:eastAsia="Gadugi" w:hAnsi="Gadugi" w:cs="Gadugi"/>
          <w:sz w:val="24"/>
          <w:lang w:val="fr-CA" w:bidi="fr-CA"/>
        </w:rPr>
        <w:t xml:space="preserve"> (kWh). À la fin de septembre 2023, on prévoyait un déficit de 67 000 $ sur le solde du Fonds de stabilisation du prix du combustible</w:t>
      </w:r>
      <w:r>
        <w:rPr>
          <w:rFonts w:ascii="Gadugi" w:eastAsia="Gadugi" w:hAnsi="Gadugi" w:cs="Gadugi"/>
          <w:lang w:val="fr-CA" w:bidi="fr-CA"/>
        </w:rPr>
        <w:t xml:space="preserve"> </w:t>
      </w:r>
      <w:r w:rsidR="00B1290D">
        <w:rPr>
          <w:rFonts w:ascii="Gadugi" w:eastAsia="Gadugi" w:hAnsi="Gadugi" w:cs="Gadugi"/>
          <w:sz w:val="24"/>
          <w:lang w:val="fr-CA" w:bidi="fr-CA"/>
        </w:rPr>
        <w:t>(Fonds de SPC), mais ce déficit devrait augmenter d’environ 7,9 millions $ au cours des six prochains mois, pour se terminer en mars 2024.</w:t>
      </w:r>
    </w:p>
    <w:p w14:paraId="5425F4D5" w14:textId="1B701A24" w:rsidR="006A3409" w:rsidRDefault="006A3409"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fr-CA" w:bidi="fr-CA"/>
        </w:rPr>
        <w:t>La SÉQ a indiqué qu'elle souhaite obtenir l'approbation de tarifs d’électricité de base modifiés plutôt que de percevoir un nouveau supplément sur le TSPC. Le supplément au taux de stabilisation du prix du combustible aurait été de 7,02 cents le kWh pour la période comprise entre le 1</w:t>
      </w:r>
      <w:r>
        <w:rPr>
          <w:rFonts w:ascii="Gadugi" w:eastAsia="Gadugi" w:hAnsi="Gadugi" w:cs="Gadugi"/>
          <w:sz w:val="24"/>
          <w:vertAlign w:val="superscript"/>
          <w:lang w:val="fr-CA" w:bidi="fr-CA"/>
        </w:rPr>
        <w:t>er </w:t>
      </w:r>
      <w:r>
        <w:rPr>
          <w:rFonts w:ascii="Gadugi" w:eastAsia="Gadugi" w:hAnsi="Gadugi" w:cs="Gadugi"/>
          <w:sz w:val="24"/>
          <w:lang w:val="fr-CA" w:bidi="fr-CA"/>
        </w:rPr>
        <w:t>octobre 2023 et le 31 mars 2024. La SÉQ s’attend à ce que les prix des combustibles soient, pendant un certain temps, supérieurs aux prévisions de la requête en majoration tarifaire générale (RMTG) pour 2022-2023.</w:t>
      </w:r>
    </w:p>
    <w:p w14:paraId="4990C2BE" w14:textId="45E8D9B0" w:rsidR="000342A8" w:rsidRDefault="000342A8"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fr-CA" w:bidi="fr-CA"/>
        </w:rPr>
        <w:t xml:space="preserve">La SÉQ a fourni un comparatif énergétique montrant l'effet d'une modification des tarifs d’électricité de base par rapport à un supplément sur le TSPC. Cette comparaison a permis de démontrer que l'augmentation serait légèrement inférieure pour les clients non gouvernementaux et que les factures des clients </w:t>
      </w:r>
      <w:r>
        <w:rPr>
          <w:rFonts w:ascii="Gadugi" w:eastAsia="Gadugi" w:hAnsi="Gadugi" w:cs="Gadugi"/>
          <w:sz w:val="24"/>
          <w:lang w:val="fr-CA" w:bidi="fr-CA"/>
        </w:rPr>
        <w:lastRenderedPageBreak/>
        <w:t>gouvernementaux augmenteraient légèrement. Toutefois, la SÉQ fait aussi remarquer que pour les clients admissibles au Programme de subvention sur l'électricité du Nunavut (PSEN), une partie de l’augmentation des tarifs d’électricité de base serait couverte par la subvention du PSEN. Il en résulterait des réductions de facture pour les clients non gouvernementaux et des augmentations de facture pour les clients gouvernementaux.</w:t>
      </w:r>
    </w:p>
    <w:p w14:paraId="3157EF5D" w14:textId="302B0555" w:rsidR="007852DA" w:rsidRDefault="000E0A55" w:rsidP="00F82D6C">
      <w:pPr>
        <w:pStyle w:val="ListParagraph"/>
        <w:widowControl/>
        <w:numPr>
          <w:ilvl w:val="0"/>
          <w:numId w:val="4"/>
        </w:numPr>
        <w:spacing w:after="240" w:line="360" w:lineRule="auto"/>
        <w:ind w:left="907" w:hanging="547"/>
        <w:jc w:val="both"/>
        <w:rPr>
          <w:sz w:val="24"/>
          <w:szCs w:val="24"/>
        </w:rPr>
      </w:pPr>
      <w:r>
        <w:rPr>
          <w:rFonts w:ascii="Gadugi" w:eastAsia="Gadugi" w:hAnsi="Gadugi" w:cs="Gadugi"/>
          <w:sz w:val="24"/>
          <w:lang w:val="fr-CA" w:bidi="fr-CA"/>
        </w:rPr>
        <w:t>La SÉQ a fourni les annexes ci-dessous qui montrent les tarifs d’électricité de base et d’éclairage des rues actuels et proposés.</w:t>
      </w:r>
    </w:p>
    <w:p w14:paraId="7B5677BE" w14:textId="00DE2242" w:rsidR="00334D6C" w:rsidRPr="002501DC" w:rsidRDefault="00334D6C" w:rsidP="002B0485">
      <w:pPr>
        <w:widowControl/>
        <w:kinsoku w:val="0"/>
        <w:overflowPunct w:val="0"/>
        <w:adjustRightInd w:val="0"/>
        <w:spacing w:after="120"/>
        <w:ind w:left="907" w:right="2909"/>
        <w:rPr>
          <w:rFonts w:ascii="Arial Narrow" w:hAnsi="Arial Narrow"/>
          <w:b/>
        </w:rPr>
      </w:pPr>
      <w:r w:rsidRPr="002501DC">
        <w:rPr>
          <w:rFonts w:ascii="Gadugi" w:eastAsia="Gadugi" w:hAnsi="Gadugi" w:cs="Gadugi"/>
          <w:b/>
          <w:lang w:val="fr-CA" w:bidi="fr-CA"/>
        </w:rPr>
        <w:t>Proposition de modification des tarifs d’électricité de base</w:t>
      </w:r>
    </w:p>
    <w:tbl>
      <w:tblPr>
        <w:tblW w:w="0" w:type="auto"/>
        <w:jc w:val="center"/>
        <w:tblLayout w:type="fixed"/>
        <w:tblCellMar>
          <w:left w:w="0" w:type="dxa"/>
          <w:right w:w="0" w:type="dxa"/>
        </w:tblCellMar>
        <w:tblLook w:val="0000" w:firstRow="0" w:lastRow="0" w:firstColumn="0" w:lastColumn="0" w:noHBand="0" w:noVBand="0"/>
      </w:tblPr>
      <w:tblGrid>
        <w:gridCol w:w="3875"/>
        <w:gridCol w:w="1745"/>
        <w:gridCol w:w="1745"/>
      </w:tblGrid>
      <w:tr w:rsidR="00334D6C" w14:paraId="46B24CC6" w14:textId="77777777" w:rsidTr="002B0485">
        <w:trPr>
          <w:trHeight w:val="856"/>
          <w:jc w:val="center"/>
        </w:trPr>
        <w:tc>
          <w:tcPr>
            <w:tcW w:w="3875" w:type="dxa"/>
            <w:tcBorders>
              <w:top w:val="single" w:sz="4" w:space="0" w:color="auto"/>
              <w:left w:val="single" w:sz="4" w:space="0" w:color="auto"/>
              <w:bottom w:val="single" w:sz="4" w:space="0" w:color="auto"/>
              <w:right w:val="single" w:sz="4" w:space="0" w:color="auto"/>
            </w:tcBorders>
          </w:tcPr>
          <w:p w14:paraId="14DE1DA3" w14:textId="77777777" w:rsidR="00334D6C" w:rsidRPr="002501DC" w:rsidRDefault="00334D6C">
            <w:pPr>
              <w:pStyle w:val="TableParagraph"/>
              <w:kinsoku w:val="0"/>
              <w:overflowPunct w:val="0"/>
              <w:rPr>
                <w:rFonts w:ascii="Arial Narrow" w:hAnsi="Arial Narrow"/>
                <w:b/>
                <w:bCs/>
              </w:rPr>
            </w:pPr>
          </w:p>
          <w:p w14:paraId="2823A9C4" w14:textId="760ABDB2" w:rsidR="00334D6C" w:rsidRPr="002501DC" w:rsidRDefault="00334D6C">
            <w:pPr>
              <w:pStyle w:val="TableParagraph"/>
              <w:kinsoku w:val="0"/>
              <w:overflowPunct w:val="0"/>
              <w:ind w:left="32"/>
              <w:rPr>
                <w:rFonts w:ascii="Arial Narrow" w:hAnsi="Arial Narrow"/>
                <w:b/>
                <w:bCs/>
                <w:sz w:val="20"/>
                <w:szCs w:val="20"/>
              </w:rPr>
            </w:pPr>
            <w:r w:rsidRPr="002501DC">
              <w:rPr>
                <w:rFonts w:ascii="Gadugi" w:eastAsia="Gadugi" w:hAnsi="Gadugi" w:cs="Gadugi"/>
                <w:b/>
                <w:sz w:val="20"/>
                <w:lang w:val="fr-CA" w:bidi="fr-CA"/>
              </w:rPr>
              <w:t>Catégories de clients</w:t>
            </w:r>
          </w:p>
        </w:tc>
        <w:tc>
          <w:tcPr>
            <w:tcW w:w="1745" w:type="dxa"/>
            <w:tcBorders>
              <w:top w:val="single" w:sz="4" w:space="0" w:color="auto"/>
              <w:left w:val="single" w:sz="4" w:space="0" w:color="auto"/>
              <w:bottom w:val="single" w:sz="4" w:space="0" w:color="auto"/>
              <w:right w:val="single" w:sz="4" w:space="0" w:color="auto"/>
            </w:tcBorders>
          </w:tcPr>
          <w:p w14:paraId="7B349CD7" w14:textId="77777777" w:rsidR="00334D6C" w:rsidRPr="002501DC" w:rsidRDefault="00334D6C">
            <w:pPr>
              <w:pStyle w:val="TableParagraph"/>
              <w:kinsoku w:val="0"/>
              <w:overflowPunct w:val="0"/>
              <w:spacing w:before="8"/>
              <w:rPr>
                <w:rFonts w:ascii="Arial Narrow" w:hAnsi="Arial Narrow"/>
                <w:b/>
                <w:bCs/>
                <w:sz w:val="26"/>
                <w:szCs w:val="26"/>
              </w:rPr>
            </w:pPr>
          </w:p>
          <w:p w14:paraId="2C71DFBD" w14:textId="68F62C66" w:rsidR="00334D6C" w:rsidRPr="002501DC" w:rsidRDefault="00334D6C" w:rsidP="00A340AB">
            <w:pPr>
              <w:pStyle w:val="TableParagraph"/>
              <w:kinsoku w:val="0"/>
              <w:overflowPunct w:val="0"/>
              <w:spacing w:before="1" w:line="268" w:lineRule="auto"/>
              <w:ind w:left="58" w:hanging="30"/>
              <w:jc w:val="center"/>
              <w:rPr>
                <w:rFonts w:ascii="Arial Narrow" w:hAnsi="Arial Narrow"/>
                <w:b/>
                <w:bCs/>
                <w:spacing w:val="-2"/>
                <w:sz w:val="20"/>
                <w:szCs w:val="20"/>
              </w:rPr>
            </w:pPr>
            <w:r w:rsidRPr="002501DC">
              <w:rPr>
                <w:rFonts w:ascii="Gadugi" w:eastAsia="Gadugi" w:hAnsi="Gadugi" w:cs="Gadugi"/>
                <w:b/>
                <w:spacing w:val="-2"/>
                <w:sz w:val="20"/>
                <w:lang w:val="fr-CA" w:bidi="fr-CA"/>
              </w:rPr>
              <w:t>Tarifs actuels (cents/kWh)</w:t>
            </w:r>
          </w:p>
        </w:tc>
        <w:tc>
          <w:tcPr>
            <w:tcW w:w="1745" w:type="dxa"/>
            <w:tcBorders>
              <w:top w:val="single" w:sz="4" w:space="0" w:color="auto"/>
              <w:left w:val="single" w:sz="4" w:space="0" w:color="auto"/>
              <w:bottom w:val="single" w:sz="4" w:space="0" w:color="auto"/>
              <w:right w:val="single" w:sz="4" w:space="0" w:color="auto"/>
            </w:tcBorders>
          </w:tcPr>
          <w:p w14:paraId="27A12443" w14:textId="77777777" w:rsidR="00334D6C" w:rsidRPr="002501DC" w:rsidRDefault="00334D6C">
            <w:pPr>
              <w:pStyle w:val="TableParagraph"/>
              <w:kinsoku w:val="0"/>
              <w:overflowPunct w:val="0"/>
              <w:spacing w:before="8"/>
              <w:rPr>
                <w:rFonts w:ascii="Arial Narrow" w:hAnsi="Arial Narrow"/>
                <w:b/>
                <w:bCs/>
                <w:sz w:val="26"/>
                <w:szCs w:val="26"/>
              </w:rPr>
            </w:pPr>
          </w:p>
          <w:p w14:paraId="6BF8E692" w14:textId="05C2A1A1" w:rsidR="00334D6C" w:rsidRPr="002501DC" w:rsidRDefault="00334D6C" w:rsidP="00A340AB">
            <w:pPr>
              <w:pStyle w:val="TableParagraph"/>
              <w:kinsoku w:val="0"/>
              <w:overflowPunct w:val="0"/>
              <w:spacing w:before="1" w:line="268" w:lineRule="auto"/>
              <w:ind w:left="117"/>
              <w:jc w:val="center"/>
              <w:rPr>
                <w:rFonts w:ascii="Arial Narrow" w:hAnsi="Arial Narrow"/>
                <w:b/>
                <w:bCs/>
                <w:spacing w:val="-2"/>
                <w:sz w:val="20"/>
                <w:szCs w:val="20"/>
              </w:rPr>
            </w:pPr>
            <w:r w:rsidRPr="002501DC">
              <w:rPr>
                <w:rFonts w:ascii="Gadugi" w:eastAsia="Gadugi" w:hAnsi="Gadugi" w:cs="Gadugi"/>
                <w:b/>
                <w:spacing w:val="-2"/>
                <w:sz w:val="20"/>
                <w:lang w:val="fr-CA" w:bidi="fr-CA"/>
              </w:rPr>
              <w:t>Tarifs proposés (cents/kWh)</w:t>
            </w:r>
          </w:p>
        </w:tc>
      </w:tr>
      <w:tr w:rsidR="00334D6C" w14:paraId="5ED17704" w14:textId="77777777" w:rsidTr="002B0485">
        <w:trPr>
          <w:trHeight w:val="305"/>
          <w:jc w:val="center"/>
        </w:trPr>
        <w:tc>
          <w:tcPr>
            <w:tcW w:w="3875" w:type="dxa"/>
            <w:tcBorders>
              <w:top w:val="single" w:sz="4" w:space="0" w:color="auto"/>
              <w:left w:val="single" w:sz="4" w:space="0" w:color="auto"/>
              <w:bottom w:val="single" w:sz="4" w:space="0" w:color="auto"/>
              <w:right w:val="single" w:sz="4" w:space="0" w:color="auto"/>
            </w:tcBorders>
          </w:tcPr>
          <w:p w14:paraId="22CD44B9"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fr-CA" w:bidi="fr-CA"/>
              </w:rPr>
              <w:t>Tarif résidentiel non gouvernemental</w:t>
            </w:r>
          </w:p>
        </w:tc>
        <w:tc>
          <w:tcPr>
            <w:tcW w:w="1745" w:type="dxa"/>
            <w:tcBorders>
              <w:top w:val="single" w:sz="4" w:space="0" w:color="auto"/>
              <w:left w:val="single" w:sz="4" w:space="0" w:color="auto"/>
              <w:bottom w:val="single" w:sz="4" w:space="0" w:color="auto"/>
              <w:right w:val="single" w:sz="4" w:space="0" w:color="auto"/>
            </w:tcBorders>
          </w:tcPr>
          <w:p w14:paraId="13CC64C8" w14:textId="77777777" w:rsidR="00334D6C" w:rsidRPr="002501DC" w:rsidRDefault="00334D6C" w:rsidP="0034715B">
            <w:pPr>
              <w:pStyle w:val="TableParagraph"/>
              <w:kinsoku w:val="0"/>
              <w:overflowPunct w:val="0"/>
              <w:ind w:left="556" w:right="509"/>
              <w:jc w:val="center"/>
              <w:rPr>
                <w:rFonts w:ascii="Arial Narrow" w:hAnsi="Arial Narrow"/>
                <w:spacing w:val="-2"/>
                <w:sz w:val="20"/>
                <w:szCs w:val="20"/>
              </w:rPr>
            </w:pPr>
            <w:r w:rsidRPr="002501DC">
              <w:rPr>
                <w:rFonts w:ascii="Gadugi" w:eastAsia="Gadugi" w:hAnsi="Gadugi" w:cs="Gadugi"/>
                <w:spacing w:val="-2"/>
                <w:sz w:val="20"/>
                <w:lang w:val="fr-CA" w:bidi="fr-CA"/>
              </w:rPr>
              <w:t>61,52</w:t>
            </w:r>
          </w:p>
        </w:tc>
        <w:tc>
          <w:tcPr>
            <w:tcW w:w="1745" w:type="dxa"/>
            <w:tcBorders>
              <w:top w:val="single" w:sz="4" w:space="0" w:color="auto"/>
              <w:left w:val="single" w:sz="4" w:space="0" w:color="auto"/>
              <w:bottom w:val="single" w:sz="4" w:space="0" w:color="auto"/>
              <w:right w:val="single" w:sz="4" w:space="0" w:color="auto"/>
            </w:tcBorders>
          </w:tcPr>
          <w:p w14:paraId="5FF54128"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fr-CA" w:bidi="fr-CA"/>
              </w:rPr>
              <w:t>67,33</w:t>
            </w:r>
          </w:p>
        </w:tc>
      </w:tr>
      <w:tr w:rsidR="00334D6C" w14:paraId="24C0DC60" w14:textId="77777777" w:rsidTr="002B0485">
        <w:trPr>
          <w:trHeight w:val="290"/>
          <w:jc w:val="center"/>
        </w:trPr>
        <w:tc>
          <w:tcPr>
            <w:tcW w:w="3875" w:type="dxa"/>
            <w:tcBorders>
              <w:top w:val="single" w:sz="4" w:space="0" w:color="auto"/>
              <w:left w:val="single" w:sz="4" w:space="0" w:color="auto"/>
              <w:bottom w:val="single" w:sz="4" w:space="0" w:color="auto"/>
              <w:right w:val="single" w:sz="4" w:space="0" w:color="auto"/>
            </w:tcBorders>
          </w:tcPr>
          <w:p w14:paraId="24CFCC57"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fr-CA" w:bidi="fr-CA"/>
              </w:rPr>
              <w:t>Tarif résidentiel gouvernemental</w:t>
            </w:r>
          </w:p>
        </w:tc>
        <w:tc>
          <w:tcPr>
            <w:tcW w:w="1745" w:type="dxa"/>
            <w:tcBorders>
              <w:top w:val="single" w:sz="4" w:space="0" w:color="auto"/>
              <w:left w:val="single" w:sz="4" w:space="0" w:color="auto"/>
              <w:bottom w:val="single" w:sz="4" w:space="0" w:color="auto"/>
              <w:right w:val="single" w:sz="4" w:space="0" w:color="auto"/>
            </w:tcBorders>
          </w:tcPr>
          <w:p w14:paraId="52DEF10F" w14:textId="77777777" w:rsidR="00334D6C" w:rsidRPr="002501DC" w:rsidRDefault="00334D6C" w:rsidP="0034715B">
            <w:pPr>
              <w:pStyle w:val="TableParagraph"/>
              <w:kinsoku w:val="0"/>
              <w:overflowPunct w:val="0"/>
              <w:ind w:left="556" w:right="509"/>
              <w:jc w:val="center"/>
              <w:rPr>
                <w:rFonts w:ascii="Arial Narrow" w:hAnsi="Arial Narrow"/>
                <w:spacing w:val="-2"/>
                <w:sz w:val="20"/>
                <w:szCs w:val="20"/>
              </w:rPr>
            </w:pPr>
            <w:r w:rsidRPr="002501DC">
              <w:rPr>
                <w:rFonts w:ascii="Gadugi" w:eastAsia="Gadugi" w:hAnsi="Gadugi" w:cs="Gadugi"/>
                <w:spacing w:val="-2"/>
                <w:sz w:val="20"/>
                <w:lang w:val="fr-CA" w:bidi="fr-CA"/>
              </w:rPr>
              <w:t>93,39</w:t>
            </w:r>
          </w:p>
        </w:tc>
        <w:tc>
          <w:tcPr>
            <w:tcW w:w="1745" w:type="dxa"/>
            <w:tcBorders>
              <w:top w:val="single" w:sz="4" w:space="0" w:color="auto"/>
              <w:left w:val="single" w:sz="4" w:space="0" w:color="auto"/>
              <w:bottom w:val="single" w:sz="4" w:space="0" w:color="auto"/>
              <w:right w:val="single" w:sz="4" w:space="0" w:color="auto"/>
            </w:tcBorders>
          </w:tcPr>
          <w:p w14:paraId="4DD2A2EA" w14:textId="77777777" w:rsidR="00334D6C" w:rsidRPr="002501DC" w:rsidRDefault="00334D6C" w:rsidP="0034715B">
            <w:pPr>
              <w:pStyle w:val="TableParagraph"/>
              <w:kinsoku w:val="0"/>
              <w:overflowPunct w:val="0"/>
              <w:ind w:right="579"/>
              <w:jc w:val="right"/>
              <w:rPr>
                <w:rFonts w:ascii="Arial Narrow" w:hAnsi="Arial Narrow"/>
                <w:spacing w:val="-2"/>
                <w:sz w:val="20"/>
                <w:szCs w:val="20"/>
              </w:rPr>
            </w:pPr>
            <w:r w:rsidRPr="002501DC">
              <w:rPr>
                <w:rFonts w:ascii="Gadugi" w:eastAsia="Gadugi" w:hAnsi="Gadugi" w:cs="Gadugi"/>
                <w:spacing w:val="-2"/>
                <w:sz w:val="20"/>
                <w:lang w:val="fr-CA" w:bidi="fr-CA"/>
              </w:rPr>
              <w:t>102,21</w:t>
            </w:r>
          </w:p>
        </w:tc>
      </w:tr>
      <w:tr w:rsidR="00334D6C" w14:paraId="31D07CB9" w14:textId="77777777" w:rsidTr="002B0485">
        <w:trPr>
          <w:trHeight w:val="323"/>
          <w:jc w:val="center"/>
        </w:trPr>
        <w:tc>
          <w:tcPr>
            <w:tcW w:w="3875" w:type="dxa"/>
            <w:tcBorders>
              <w:top w:val="single" w:sz="4" w:space="0" w:color="auto"/>
              <w:left w:val="single" w:sz="4" w:space="0" w:color="auto"/>
              <w:bottom w:val="single" w:sz="4" w:space="0" w:color="auto"/>
              <w:right w:val="single" w:sz="4" w:space="0" w:color="auto"/>
            </w:tcBorders>
          </w:tcPr>
          <w:p w14:paraId="15D321E6"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fr-CA" w:bidi="fr-CA"/>
              </w:rPr>
              <w:t>Tarif de clients résidentiels municipaux</w:t>
            </w:r>
          </w:p>
        </w:tc>
        <w:tc>
          <w:tcPr>
            <w:tcW w:w="1745" w:type="dxa"/>
            <w:tcBorders>
              <w:top w:val="single" w:sz="4" w:space="0" w:color="auto"/>
              <w:left w:val="single" w:sz="4" w:space="0" w:color="auto"/>
              <w:bottom w:val="single" w:sz="4" w:space="0" w:color="auto"/>
              <w:right w:val="single" w:sz="4" w:space="0" w:color="auto"/>
            </w:tcBorders>
          </w:tcPr>
          <w:p w14:paraId="5FC831EB"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fr-CA" w:bidi="fr-CA"/>
              </w:rPr>
              <w:t>61,52</w:t>
            </w:r>
          </w:p>
        </w:tc>
        <w:tc>
          <w:tcPr>
            <w:tcW w:w="1745" w:type="dxa"/>
            <w:tcBorders>
              <w:top w:val="single" w:sz="4" w:space="0" w:color="auto"/>
              <w:left w:val="single" w:sz="4" w:space="0" w:color="auto"/>
              <w:bottom w:val="single" w:sz="4" w:space="0" w:color="auto"/>
              <w:right w:val="single" w:sz="4" w:space="0" w:color="auto"/>
            </w:tcBorders>
          </w:tcPr>
          <w:p w14:paraId="1E2FFB82"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fr-CA" w:bidi="fr-CA"/>
              </w:rPr>
              <w:t>67,33</w:t>
            </w:r>
          </w:p>
        </w:tc>
      </w:tr>
      <w:tr w:rsidR="00334D6C" w14:paraId="49C0856A" w14:textId="77777777" w:rsidTr="002B0485">
        <w:trPr>
          <w:trHeight w:val="260"/>
          <w:jc w:val="center"/>
        </w:trPr>
        <w:tc>
          <w:tcPr>
            <w:tcW w:w="3875" w:type="dxa"/>
            <w:tcBorders>
              <w:top w:val="single" w:sz="4" w:space="0" w:color="auto"/>
              <w:left w:val="single" w:sz="4" w:space="0" w:color="auto"/>
              <w:bottom w:val="single" w:sz="4" w:space="0" w:color="auto"/>
              <w:right w:val="single" w:sz="4" w:space="0" w:color="auto"/>
            </w:tcBorders>
          </w:tcPr>
          <w:p w14:paraId="264D9E86"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fr-CA" w:bidi="fr-CA"/>
              </w:rPr>
              <w:t>Tarif commercial non gouvernemental</w:t>
            </w:r>
          </w:p>
        </w:tc>
        <w:tc>
          <w:tcPr>
            <w:tcW w:w="1745" w:type="dxa"/>
            <w:tcBorders>
              <w:top w:val="single" w:sz="4" w:space="0" w:color="auto"/>
              <w:left w:val="single" w:sz="4" w:space="0" w:color="auto"/>
              <w:bottom w:val="single" w:sz="4" w:space="0" w:color="auto"/>
              <w:right w:val="single" w:sz="4" w:space="0" w:color="auto"/>
            </w:tcBorders>
          </w:tcPr>
          <w:p w14:paraId="0AC741F1"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fr-CA" w:bidi="fr-CA"/>
              </w:rPr>
              <w:t>50,74</w:t>
            </w:r>
          </w:p>
        </w:tc>
        <w:tc>
          <w:tcPr>
            <w:tcW w:w="1745" w:type="dxa"/>
            <w:tcBorders>
              <w:top w:val="single" w:sz="4" w:space="0" w:color="auto"/>
              <w:left w:val="single" w:sz="4" w:space="0" w:color="auto"/>
              <w:bottom w:val="single" w:sz="4" w:space="0" w:color="auto"/>
              <w:right w:val="single" w:sz="4" w:space="0" w:color="auto"/>
            </w:tcBorders>
          </w:tcPr>
          <w:p w14:paraId="19396410"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fr-CA" w:bidi="fr-CA"/>
              </w:rPr>
              <w:t>55,54</w:t>
            </w:r>
          </w:p>
        </w:tc>
      </w:tr>
      <w:tr w:rsidR="00334D6C" w14:paraId="56F812DF" w14:textId="77777777" w:rsidTr="002B0485">
        <w:trPr>
          <w:trHeight w:val="287"/>
          <w:jc w:val="center"/>
        </w:trPr>
        <w:tc>
          <w:tcPr>
            <w:tcW w:w="3875" w:type="dxa"/>
            <w:tcBorders>
              <w:top w:val="single" w:sz="4" w:space="0" w:color="auto"/>
              <w:left w:val="single" w:sz="4" w:space="0" w:color="auto"/>
              <w:bottom w:val="single" w:sz="4" w:space="0" w:color="auto"/>
              <w:right w:val="single" w:sz="4" w:space="0" w:color="auto"/>
            </w:tcBorders>
          </w:tcPr>
          <w:p w14:paraId="79CB17E9"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fr-CA" w:bidi="fr-CA"/>
              </w:rPr>
              <w:t>Tarif commercial gouvernemental</w:t>
            </w:r>
          </w:p>
        </w:tc>
        <w:tc>
          <w:tcPr>
            <w:tcW w:w="1745" w:type="dxa"/>
            <w:tcBorders>
              <w:top w:val="single" w:sz="4" w:space="0" w:color="auto"/>
              <w:left w:val="single" w:sz="4" w:space="0" w:color="auto"/>
              <w:bottom w:val="single" w:sz="4" w:space="0" w:color="auto"/>
              <w:right w:val="single" w:sz="4" w:space="0" w:color="auto"/>
            </w:tcBorders>
          </w:tcPr>
          <w:p w14:paraId="7F612EC4"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fr-CA" w:bidi="fr-CA"/>
              </w:rPr>
              <w:t>86,97</w:t>
            </w:r>
          </w:p>
        </w:tc>
        <w:tc>
          <w:tcPr>
            <w:tcW w:w="1745" w:type="dxa"/>
            <w:tcBorders>
              <w:top w:val="single" w:sz="4" w:space="0" w:color="auto"/>
              <w:left w:val="single" w:sz="4" w:space="0" w:color="auto"/>
              <w:bottom w:val="single" w:sz="4" w:space="0" w:color="auto"/>
              <w:right w:val="single" w:sz="4" w:space="0" w:color="auto"/>
            </w:tcBorders>
          </w:tcPr>
          <w:p w14:paraId="4E4C0F69"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fr-CA" w:bidi="fr-CA"/>
              </w:rPr>
              <w:t>95,18</w:t>
            </w:r>
          </w:p>
        </w:tc>
      </w:tr>
      <w:tr w:rsidR="00334D6C" w14:paraId="14E01524" w14:textId="77777777" w:rsidTr="002B0485">
        <w:trPr>
          <w:trHeight w:val="282"/>
          <w:jc w:val="center"/>
        </w:trPr>
        <w:tc>
          <w:tcPr>
            <w:tcW w:w="3875" w:type="dxa"/>
            <w:tcBorders>
              <w:top w:val="single" w:sz="4" w:space="0" w:color="auto"/>
              <w:left w:val="single" w:sz="4" w:space="0" w:color="auto"/>
              <w:bottom w:val="single" w:sz="4" w:space="0" w:color="auto"/>
              <w:right w:val="single" w:sz="4" w:space="0" w:color="auto"/>
            </w:tcBorders>
          </w:tcPr>
          <w:p w14:paraId="05F8EC27"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fr-CA" w:bidi="fr-CA"/>
              </w:rPr>
              <w:t>Tarif de clients commerciaux municipaux</w:t>
            </w:r>
          </w:p>
        </w:tc>
        <w:tc>
          <w:tcPr>
            <w:tcW w:w="1745" w:type="dxa"/>
            <w:tcBorders>
              <w:top w:val="single" w:sz="4" w:space="0" w:color="auto"/>
              <w:left w:val="single" w:sz="4" w:space="0" w:color="auto"/>
              <w:bottom w:val="single" w:sz="4" w:space="0" w:color="auto"/>
              <w:right w:val="single" w:sz="4" w:space="0" w:color="auto"/>
            </w:tcBorders>
          </w:tcPr>
          <w:p w14:paraId="3988404D"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fr-CA" w:bidi="fr-CA"/>
              </w:rPr>
              <w:t>50,74</w:t>
            </w:r>
          </w:p>
        </w:tc>
        <w:tc>
          <w:tcPr>
            <w:tcW w:w="1745" w:type="dxa"/>
            <w:tcBorders>
              <w:top w:val="single" w:sz="4" w:space="0" w:color="auto"/>
              <w:left w:val="single" w:sz="4" w:space="0" w:color="auto"/>
              <w:bottom w:val="single" w:sz="4" w:space="0" w:color="auto"/>
              <w:right w:val="single" w:sz="4" w:space="0" w:color="auto"/>
            </w:tcBorders>
          </w:tcPr>
          <w:p w14:paraId="3B17A34A"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fr-CA" w:bidi="fr-CA"/>
              </w:rPr>
              <w:t>55,54</w:t>
            </w:r>
          </w:p>
        </w:tc>
      </w:tr>
    </w:tbl>
    <w:p w14:paraId="28651F22" w14:textId="77777777" w:rsidR="00DD66A5" w:rsidRDefault="00DD66A5" w:rsidP="00FF2984">
      <w:pPr>
        <w:rPr>
          <w:sz w:val="24"/>
          <w:szCs w:val="24"/>
        </w:rPr>
      </w:pPr>
    </w:p>
    <w:p w14:paraId="41BDD393" w14:textId="77777777" w:rsidR="00DD66A5" w:rsidRDefault="00DD66A5" w:rsidP="00FF2984">
      <w:pPr>
        <w:rPr>
          <w:sz w:val="24"/>
          <w:szCs w:val="24"/>
        </w:rPr>
        <w:sectPr w:rsidR="00DD66A5" w:rsidSect="00B23850">
          <w:headerReference w:type="default" r:id="rId21"/>
          <w:footerReference w:type="default" r:id="rId22"/>
          <w:pgSz w:w="12240" w:h="15840"/>
          <w:pgMar w:top="1440" w:right="1440" w:bottom="720" w:left="1440" w:header="1440" w:footer="792" w:gutter="0"/>
          <w:pgNumType w:start="1"/>
          <w:cols w:space="720"/>
          <w:docGrid w:linePitch="299"/>
        </w:sectPr>
      </w:pPr>
    </w:p>
    <w:p w14:paraId="388FE3D9" w14:textId="554F2A0F" w:rsidR="000E0A55" w:rsidRPr="001B31F6" w:rsidRDefault="000E0A55" w:rsidP="00A410C5">
      <w:pPr>
        <w:widowControl/>
        <w:kinsoku w:val="0"/>
        <w:overflowPunct w:val="0"/>
        <w:adjustRightInd w:val="0"/>
        <w:spacing w:after="120"/>
        <w:ind w:left="90" w:right="2909"/>
        <w:rPr>
          <w:rFonts w:ascii="Arial Narrow" w:hAnsi="Arial Narrow"/>
          <w:b/>
        </w:rPr>
      </w:pPr>
      <w:r w:rsidRPr="001B31F6">
        <w:rPr>
          <w:rFonts w:ascii="Gadugi" w:eastAsia="Gadugi" w:hAnsi="Gadugi" w:cs="Gadugi"/>
          <w:b/>
          <w:lang w:val="fr-CA" w:bidi="fr-CA"/>
        </w:rPr>
        <w:lastRenderedPageBreak/>
        <w:t>Proposition de modification des tarifs de base – éclairage des rues</w:t>
      </w:r>
    </w:p>
    <w:tbl>
      <w:tblPr>
        <w:tblW w:w="0" w:type="auto"/>
        <w:tblInd w:w="110" w:type="dxa"/>
        <w:tblLayout w:type="fixed"/>
        <w:tblCellMar>
          <w:left w:w="0" w:type="dxa"/>
          <w:right w:w="0" w:type="dxa"/>
        </w:tblCellMar>
        <w:tblLook w:val="0000" w:firstRow="0" w:lastRow="0" w:firstColumn="0" w:lastColumn="0" w:noHBand="0" w:noVBand="0"/>
      </w:tblPr>
      <w:tblGrid>
        <w:gridCol w:w="1253"/>
        <w:gridCol w:w="1692"/>
        <w:gridCol w:w="1800"/>
        <w:gridCol w:w="529"/>
        <w:gridCol w:w="551"/>
        <w:gridCol w:w="558"/>
        <w:gridCol w:w="93"/>
        <w:gridCol w:w="1635"/>
        <w:gridCol w:w="1871"/>
        <w:gridCol w:w="591"/>
        <w:gridCol w:w="540"/>
        <w:gridCol w:w="450"/>
        <w:gridCol w:w="74"/>
        <w:gridCol w:w="1118"/>
      </w:tblGrid>
      <w:tr w:rsidR="005A14DA" w:rsidRPr="005652D3" w14:paraId="10394001" w14:textId="77777777" w:rsidTr="00D47E5E">
        <w:trPr>
          <w:trHeight w:val="314"/>
        </w:trPr>
        <w:tc>
          <w:tcPr>
            <w:tcW w:w="1253" w:type="dxa"/>
            <w:tcBorders>
              <w:top w:val="single" w:sz="4" w:space="0" w:color="000000"/>
              <w:left w:val="single" w:sz="4" w:space="0" w:color="000000"/>
              <w:bottom w:val="none" w:sz="6" w:space="0" w:color="auto"/>
              <w:right w:val="single" w:sz="4" w:space="0" w:color="000000"/>
            </w:tcBorders>
          </w:tcPr>
          <w:p w14:paraId="285779F5"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130" w:type="dxa"/>
            <w:gridSpan w:val="5"/>
            <w:tcBorders>
              <w:top w:val="single" w:sz="4" w:space="0" w:color="000000"/>
              <w:left w:val="single" w:sz="4" w:space="0" w:color="000000"/>
              <w:bottom w:val="none" w:sz="6" w:space="0" w:color="auto"/>
              <w:right w:val="single" w:sz="4" w:space="0" w:color="000000"/>
            </w:tcBorders>
          </w:tcPr>
          <w:p w14:paraId="3EEE7908"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val="restart"/>
            <w:tcBorders>
              <w:top w:val="none" w:sz="6" w:space="0" w:color="auto"/>
              <w:left w:val="single" w:sz="4" w:space="0" w:color="000000"/>
              <w:bottom w:val="single" w:sz="4" w:space="0" w:color="D9D9D9"/>
              <w:right w:val="single" w:sz="4" w:space="0" w:color="000000"/>
            </w:tcBorders>
          </w:tcPr>
          <w:p w14:paraId="5DA5F741"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087" w:type="dxa"/>
            <w:gridSpan w:val="5"/>
            <w:tcBorders>
              <w:top w:val="single" w:sz="4" w:space="0" w:color="000000"/>
              <w:left w:val="single" w:sz="4" w:space="0" w:color="000000"/>
              <w:bottom w:val="none" w:sz="6" w:space="0" w:color="auto"/>
              <w:right w:val="single" w:sz="4" w:space="0" w:color="000000"/>
            </w:tcBorders>
          </w:tcPr>
          <w:p w14:paraId="430B602A"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val="restart"/>
            <w:tcBorders>
              <w:top w:val="none" w:sz="6" w:space="0" w:color="auto"/>
              <w:left w:val="single" w:sz="4" w:space="0" w:color="000000"/>
              <w:bottom w:val="single" w:sz="4" w:space="0" w:color="D9D9D9"/>
              <w:right w:val="single" w:sz="4" w:space="0" w:color="000000"/>
            </w:tcBorders>
          </w:tcPr>
          <w:p w14:paraId="26750626"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118" w:type="dxa"/>
            <w:tcBorders>
              <w:top w:val="single" w:sz="4" w:space="0" w:color="000000"/>
              <w:left w:val="single" w:sz="4" w:space="0" w:color="000000"/>
              <w:bottom w:val="none" w:sz="6" w:space="0" w:color="auto"/>
              <w:right w:val="single" w:sz="4" w:space="0" w:color="000000"/>
            </w:tcBorders>
          </w:tcPr>
          <w:p w14:paraId="72799FF1" w14:textId="77777777" w:rsidR="005A14DA" w:rsidRPr="005652D3" w:rsidRDefault="005A14DA" w:rsidP="009D106A">
            <w:pPr>
              <w:widowControl/>
              <w:kinsoku w:val="0"/>
              <w:overflowPunct w:val="0"/>
              <w:adjustRightInd w:val="0"/>
              <w:jc w:val="center"/>
              <w:rPr>
                <w:rFonts w:ascii="Arial Narrow" w:eastAsiaTheme="minorHAnsi" w:hAnsi="Arial Narrow" w:cs="Arial"/>
                <w:b/>
                <w:bCs/>
                <w:sz w:val="18"/>
                <w:szCs w:val="18"/>
                <w:lang w:val="en-US" w:eastAsia="en-US" w:bidi="ar-SA"/>
              </w:rPr>
            </w:pPr>
          </w:p>
          <w:p w14:paraId="3EF9CCF9" w14:textId="77777777" w:rsidR="005A14DA" w:rsidRPr="005652D3" w:rsidRDefault="005A14DA" w:rsidP="009D106A">
            <w:pPr>
              <w:widowControl/>
              <w:kinsoku w:val="0"/>
              <w:overflowPunct w:val="0"/>
              <w:adjustRightInd w:val="0"/>
              <w:ind w:right="16"/>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Modification des</w:t>
            </w:r>
          </w:p>
        </w:tc>
      </w:tr>
      <w:tr w:rsidR="005A14DA" w:rsidRPr="005652D3" w14:paraId="12D07F79" w14:textId="77777777" w:rsidTr="00D47E5E">
        <w:trPr>
          <w:trHeight w:val="50"/>
        </w:trPr>
        <w:tc>
          <w:tcPr>
            <w:tcW w:w="1253" w:type="dxa"/>
            <w:tcBorders>
              <w:top w:val="none" w:sz="6" w:space="0" w:color="auto"/>
              <w:left w:val="single" w:sz="4" w:space="0" w:color="000000"/>
              <w:bottom w:val="none" w:sz="6" w:space="0" w:color="auto"/>
              <w:right w:val="single" w:sz="4" w:space="0" w:color="000000"/>
            </w:tcBorders>
          </w:tcPr>
          <w:p w14:paraId="7F592E24"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130" w:type="dxa"/>
            <w:gridSpan w:val="5"/>
            <w:tcBorders>
              <w:top w:val="none" w:sz="6" w:space="0" w:color="auto"/>
              <w:left w:val="single" w:sz="4" w:space="0" w:color="000000"/>
              <w:bottom w:val="none" w:sz="6" w:space="0" w:color="auto"/>
              <w:right w:val="single" w:sz="4" w:space="0" w:color="000000"/>
            </w:tcBorders>
          </w:tcPr>
          <w:p w14:paraId="1B4C1BBC"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tcBorders>
              <w:top w:val="nil"/>
              <w:left w:val="single" w:sz="4" w:space="0" w:color="000000"/>
              <w:bottom w:val="single" w:sz="4" w:space="0" w:color="D9D9D9"/>
              <w:right w:val="single" w:sz="4" w:space="0" w:color="000000"/>
            </w:tcBorders>
          </w:tcPr>
          <w:p w14:paraId="51D0AA20"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5087" w:type="dxa"/>
            <w:gridSpan w:val="5"/>
            <w:tcBorders>
              <w:top w:val="none" w:sz="6" w:space="0" w:color="auto"/>
              <w:left w:val="single" w:sz="4" w:space="0" w:color="000000"/>
              <w:bottom w:val="none" w:sz="6" w:space="0" w:color="auto"/>
              <w:right w:val="single" w:sz="4" w:space="0" w:color="000000"/>
            </w:tcBorders>
          </w:tcPr>
          <w:p w14:paraId="4D1B7B9F"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tcBorders>
              <w:top w:val="nil"/>
              <w:left w:val="single" w:sz="4" w:space="0" w:color="000000"/>
              <w:bottom w:val="single" w:sz="4" w:space="0" w:color="D9D9D9"/>
              <w:right w:val="single" w:sz="4" w:space="0" w:color="000000"/>
            </w:tcBorders>
          </w:tcPr>
          <w:p w14:paraId="32624F1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tcPr>
          <w:p w14:paraId="0081E8E6" w14:textId="63C5D538" w:rsidR="005A14DA" w:rsidRPr="005652D3" w:rsidRDefault="005A14DA" w:rsidP="009D106A">
            <w:pPr>
              <w:widowControl/>
              <w:kinsoku w:val="0"/>
              <w:overflowPunct w:val="0"/>
              <w:adjustRightInd w:val="0"/>
              <w:ind w:left="50"/>
              <w:jc w:val="center"/>
              <w:rPr>
                <w:rFonts w:ascii="Arial Narrow" w:eastAsiaTheme="minorHAnsi" w:hAnsi="Arial Narrow" w:cs="Arial"/>
                <w:b/>
                <w:bCs/>
                <w:spacing w:val="-2"/>
                <w:sz w:val="18"/>
                <w:szCs w:val="18"/>
                <w:lang w:val="en-US" w:eastAsia="en-US" w:bidi="ar-SA"/>
              </w:rPr>
            </w:pPr>
            <w:r w:rsidRPr="005652D3">
              <w:rPr>
                <w:rFonts w:ascii="Gadugi" w:eastAsia="Gadugi" w:hAnsi="Gadugi" w:cs="Gadugi"/>
                <w:b/>
                <w:spacing w:val="-2"/>
                <w:sz w:val="18"/>
                <w:lang w:val="fr-CA" w:bidi="fr-CA"/>
              </w:rPr>
              <w:t xml:space="preserve"> tarifs actuels</w:t>
            </w:r>
          </w:p>
        </w:tc>
      </w:tr>
      <w:tr w:rsidR="005A14DA" w:rsidRPr="005652D3" w14:paraId="23F32058" w14:textId="77777777" w:rsidTr="00D47E5E">
        <w:trPr>
          <w:trHeight w:val="432"/>
        </w:trPr>
        <w:tc>
          <w:tcPr>
            <w:tcW w:w="1253" w:type="dxa"/>
            <w:tcBorders>
              <w:top w:val="none" w:sz="6" w:space="0" w:color="auto"/>
              <w:left w:val="single" w:sz="4" w:space="0" w:color="000000"/>
              <w:bottom w:val="single" w:sz="4" w:space="0" w:color="000000"/>
              <w:right w:val="single" w:sz="4" w:space="0" w:color="000000"/>
            </w:tcBorders>
            <w:vAlign w:val="center"/>
          </w:tcPr>
          <w:p w14:paraId="63B6F61C" w14:textId="63D6D0E2" w:rsidR="005A14DA" w:rsidRPr="005652D3" w:rsidRDefault="005A14DA" w:rsidP="009D106A">
            <w:pPr>
              <w:widowControl/>
              <w:kinsoku w:val="0"/>
              <w:overflowPunct w:val="0"/>
              <w:adjustRightInd w:val="0"/>
              <w:ind w:left="14"/>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Nom de la centrale électrique</w:t>
            </w:r>
          </w:p>
        </w:tc>
        <w:tc>
          <w:tcPr>
            <w:tcW w:w="5130" w:type="dxa"/>
            <w:gridSpan w:val="5"/>
            <w:tcBorders>
              <w:top w:val="none" w:sz="6" w:space="0" w:color="auto"/>
              <w:left w:val="single" w:sz="4" w:space="0" w:color="000000"/>
              <w:bottom w:val="single" w:sz="4" w:space="0" w:color="000000"/>
              <w:right w:val="single" w:sz="4" w:space="0" w:color="000000"/>
            </w:tcBorders>
          </w:tcPr>
          <w:p w14:paraId="7D0C7B81" w14:textId="67D43564" w:rsidR="005A14DA" w:rsidRPr="005652D3" w:rsidRDefault="005A14DA" w:rsidP="009D106A">
            <w:pPr>
              <w:widowControl/>
              <w:kinsoku w:val="0"/>
              <w:overflowPunct w:val="0"/>
              <w:adjustRightInd w:val="0"/>
              <w:ind w:left="1829" w:right="1814"/>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Tarifs actuels ($/mois)</w:t>
            </w:r>
          </w:p>
        </w:tc>
        <w:tc>
          <w:tcPr>
            <w:tcW w:w="93" w:type="dxa"/>
            <w:vMerge/>
            <w:tcBorders>
              <w:top w:val="nil"/>
              <w:left w:val="single" w:sz="4" w:space="0" w:color="000000"/>
              <w:bottom w:val="single" w:sz="4" w:space="0" w:color="D9D9D9"/>
              <w:right w:val="single" w:sz="4" w:space="0" w:color="000000"/>
            </w:tcBorders>
          </w:tcPr>
          <w:p w14:paraId="62EAF89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5087" w:type="dxa"/>
            <w:gridSpan w:val="5"/>
            <w:tcBorders>
              <w:top w:val="none" w:sz="6" w:space="0" w:color="auto"/>
              <w:left w:val="single" w:sz="4" w:space="0" w:color="000000"/>
              <w:bottom w:val="single" w:sz="4" w:space="0" w:color="000000"/>
              <w:right w:val="single" w:sz="4" w:space="0" w:color="000000"/>
            </w:tcBorders>
          </w:tcPr>
          <w:p w14:paraId="6B5005C8" w14:textId="7AD88911" w:rsidR="005A14DA" w:rsidRPr="005652D3" w:rsidRDefault="005A14DA" w:rsidP="009D106A">
            <w:pPr>
              <w:widowControl/>
              <w:kinsoku w:val="0"/>
              <w:overflowPunct w:val="0"/>
              <w:adjustRightInd w:val="0"/>
              <w:ind w:left="1541"/>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Tarifs proposés 2022-2023 ($/mois)</w:t>
            </w:r>
          </w:p>
        </w:tc>
        <w:tc>
          <w:tcPr>
            <w:tcW w:w="74" w:type="dxa"/>
            <w:vMerge/>
            <w:tcBorders>
              <w:top w:val="nil"/>
              <w:left w:val="single" w:sz="4" w:space="0" w:color="000000"/>
              <w:bottom w:val="single" w:sz="4" w:space="0" w:color="D9D9D9"/>
              <w:right w:val="single" w:sz="4" w:space="0" w:color="000000"/>
            </w:tcBorders>
          </w:tcPr>
          <w:p w14:paraId="77FAC1B0"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single" w:sz="4" w:space="0" w:color="000000"/>
              <w:right w:val="single" w:sz="4" w:space="0" w:color="000000"/>
            </w:tcBorders>
          </w:tcPr>
          <w:p w14:paraId="69E57CD6" w14:textId="7EA7D38A" w:rsidR="005A14DA" w:rsidRPr="005652D3" w:rsidRDefault="005A14DA" w:rsidP="009D106A">
            <w:pPr>
              <w:widowControl/>
              <w:kinsoku w:val="0"/>
              <w:overflowPunct w:val="0"/>
              <w:adjustRightInd w:val="0"/>
              <w:ind w:left="50"/>
              <w:jc w:val="center"/>
              <w:rPr>
                <w:rFonts w:ascii="Arial Narrow" w:eastAsiaTheme="minorHAnsi" w:hAnsi="Arial Narrow" w:cs="Arial"/>
                <w:b/>
                <w:bCs/>
                <w:spacing w:val="-2"/>
                <w:sz w:val="18"/>
                <w:szCs w:val="18"/>
                <w:lang w:val="en-US" w:eastAsia="en-US" w:bidi="ar-SA"/>
              </w:rPr>
            </w:pPr>
            <w:r w:rsidRPr="005652D3">
              <w:rPr>
                <w:rFonts w:ascii="Gadugi" w:eastAsia="Gadugi" w:hAnsi="Gadugi" w:cs="Gadugi"/>
                <w:b/>
                <w:spacing w:val="-2"/>
                <w:sz w:val="18"/>
                <w:lang w:val="fr-CA" w:bidi="fr-CA"/>
              </w:rPr>
              <w:t>:</w:t>
            </w:r>
          </w:p>
        </w:tc>
      </w:tr>
      <w:tr w:rsidR="005A14DA" w:rsidRPr="005652D3" w14:paraId="7303FCE6" w14:textId="77777777" w:rsidTr="00D47E5E">
        <w:trPr>
          <w:trHeight w:val="153"/>
        </w:trPr>
        <w:tc>
          <w:tcPr>
            <w:tcW w:w="1253" w:type="dxa"/>
            <w:tcBorders>
              <w:top w:val="single" w:sz="4" w:space="0" w:color="000000"/>
              <w:left w:val="single" w:sz="4" w:space="0" w:color="000000"/>
              <w:bottom w:val="none" w:sz="6" w:space="0" w:color="auto"/>
              <w:right w:val="single" w:sz="4" w:space="0" w:color="000000"/>
            </w:tcBorders>
          </w:tcPr>
          <w:p w14:paraId="412C9A7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692" w:type="dxa"/>
            <w:tcBorders>
              <w:top w:val="single" w:sz="4" w:space="0" w:color="000000"/>
              <w:left w:val="single" w:sz="4" w:space="0" w:color="000000"/>
              <w:bottom w:val="none" w:sz="6" w:space="0" w:color="auto"/>
              <w:right w:val="single" w:sz="4" w:space="0" w:color="000000"/>
            </w:tcBorders>
          </w:tcPr>
          <w:p w14:paraId="672DF661" w14:textId="21E34009" w:rsidR="005A14DA" w:rsidRPr="005652D3" w:rsidRDefault="005A14DA" w:rsidP="009D106A">
            <w:pPr>
              <w:widowControl/>
              <w:kinsoku w:val="0"/>
              <w:overflowPunct w:val="0"/>
              <w:adjustRightInd w:val="0"/>
              <w:ind w:right="8"/>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Sodium haute pression</w:t>
            </w:r>
          </w:p>
        </w:tc>
        <w:tc>
          <w:tcPr>
            <w:tcW w:w="1800" w:type="dxa"/>
            <w:tcBorders>
              <w:top w:val="single" w:sz="4" w:space="0" w:color="000000"/>
              <w:left w:val="single" w:sz="4" w:space="0" w:color="000000"/>
              <w:bottom w:val="none" w:sz="6" w:space="0" w:color="auto"/>
              <w:right w:val="single" w:sz="4" w:space="0" w:color="000000"/>
            </w:tcBorders>
          </w:tcPr>
          <w:p w14:paraId="6951E7D0" w14:textId="023B3AF1" w:rsidR="005A14DA" w:rsidRPr="005652D3" w:rsidRDefault="005A14DA" w:rsidP="009D106A">
            <w:pPr>
              <w:widowControl/>
              <w:kinsoku w:val="0"/>
              <w:overflowPunct w:val="0"/>
              <w:adjustRightInd w:val="0"/>
              <w:ind w:left="250"/>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Vapeur de mercure</w:t>
            </w:r>
          </w:p>
        </w:tc>
        <w:tc>
          <w:tcPr>
            <w:tcW w:w="529" w:type="dxa"/>
            <w:tcBorders>
              <w:top w:val="single" w:sz="4" w:space="0" w:color="000000"/>
              <w:left w:val="single" w:sz="4" w:space="0" w:color="000000"/>
              <w:bottom w:val="none" w:sz="6" w:space="0" w:color="auto"/>
              <w:right w:val="none" w:sz="6" w:space="0" w:color="auto"/>
            </w:tcBorders>
          </w:tcPr>
          <w:p w14:paraId="06370B14"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51" w:type="dxa"/>
            <w:tcBorders>
              <w:top w:val="single" w:sz="4" w:space="0" w:color="000000"/>
              <w:left w:val="none" w:sz="6" w:space="0" w:color="auto"/>
              <w:bottom w:val="none" w:sz="6" w:space="0" w:color="auto"/>
              <w:right w:val="none" w:sz="6" w:space="0" w:color="auto"/>
            </w:tcBorders>
          </w:tcPr>
          <w:p w14:paraId="08B0C30E" w14:textId="77777777" w:rsidR="005A14DA" w:rsidRPr="005652D3" w:rsidRDefault="005A14DA" w:rsidP="009D106A">
            <w:pPr>
              <w:widowControl/>
              <w:kinsoku w:val="0"/>
              <w:overflowPunct w:val="0"/>
              <w:adjustRightInd w:val="0"/>
              <w:ind w:left="112"/>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fr-CA" w:bidi="fr-CA"/>
              </w:rPr>
              <w:t>DEL</w:t>
            </w:r>
          </w:p>
        </w:tc>
        <w:tc>
          <w:tcPr>
            <w:tcW w:w="558" w:type="dxa"/>
            <w:tcBorders>
              <w:top w:val="single" w:sz="4" w:space="0" w:color="000000"/>
              <w:left w:val="none" w:sz="6" w:space="0" w:color="auto"/>
              <w:bottom w:val="none" w:sz="6" w:space="0" w:color="auto"/>
              <w:right w:val="single" w:sz="4" w:space="0" w:color="000000"/>
            </w:tcBorders>
          </w:tcPr>
          <w:p w14:paraId="003799D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val="restart"/>
            <w:tcBorders>
              <w:top w:val="nil"/>
              <w:left w:val="single" w:sz="4" w:space="0" w:color="000000"/>
              <w:bottom w:val="single" w:sz="4" w:space="0" w:color="D9D9D9"/>
              <w:right w:val="single" w:sz="4" w:space="0" w:color="000000"/>
            </w:tcBorders>
          </w:tcPr>
          <w:p w14:paraId="7014EDC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single" w:sz="4" w:space="0" w:color="000000"/>
              <w:left w:val="single" w:sz="4" w:space="0" w:color="000000"/>
              <w:bottom w:val="none" w:sz="6" w:space="0" w:color="auto"/>
              <w:right w:val="single" w:sz="4" w:space="0" w:color="000000"/>
            </w:tcBorders>
          </w:tcPr>
          <w:p w14:paraId="6DF38326" w14:textId="5A90E6B8" w:rsidR="005A14DA" w:rsidRPr="005652D3" w:rsidRDefault="005A14DA" w:rsidP="009D106A">
            <w:pPr>
              <w:widowControl/>
              <w:kinsoku w:val="0"/>
              <w:overflowPunct w:val="0"/>
              <w:adjustRightInd w:val="0"/>
              <w:ind w:right="9"/>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Sodium haute pression</w:t>
            </w:r>
          </w:p>
        </w:tc>
        <w:tc>
          <w:tcPr>
            <w:tcW w:w="1871" w:type="dxa"/>
            <w:tcBorders>
              <w:top w:val="single" w:sz="4" w:space="0" w:color="000000"/>
              <w:left w:val="single" w:sz="4" w:space="0" w:color="000000"/>
              <w:bottom w:val="none" w:sz="6" w:space="0" w:color="auto"/>
              <w:right w:val="single" w:sz="4" w:space="0" w:color="000000"/>
            </w:tcBorders>
          </w:tcPr>
          <w:p w14:paraId="31FB4184" w14:textId="1F34F3E5" w:rsidR="005A14DA" w:rsidRPr="005652D3" w:rsidRDefault="005A14DA" w:rsidP="009D106A">
            <w:pPr>
              <w:widowControl/>
              <w:kinsoku w:val="0"/>
              <w:overflowPunct w:val="0"/>
              <w:adjustRightInd w:val="0"/>
              <w:ind w:left="462"/>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Vapeur de mercure</w:t>
            </w:r>
          </w:p>
        </w:tc>
        <w:tc>
          <w:tcPr>
            <w:tcW w:w="591" w:type="dxa"/>
            <w:tcBorders>
              <w:top w:val="single" w:sz="4" w:space="0" w:color="000000"/>
              <w:left w:val="single" w:sz="4" w:space="0" w:color="000000"/>
              <w:bottom w:val="none" w:sz="6" w:space="0" w:color="auto"/>
              <w:right w:val="none" w:sz="6" w:space="0" w:color="auto"/>
            </w:tcBorders>
          </w:tcPr>
          <w:p w14:paraId="0F0D3069"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40" w:type="dxa"/>
            <w:tcBorders>
              <w:top w:val="single" w:sz="4" w:space="0" w:color="000000"/>
              <w:left w:val="none" w:sz="6" w:space="0" w:color="auto"/>
              <w:bottom w:val="none" w:sz="6" w:space="0" w:color="auto"/>
              <w:right w:val="none" w:sz="6" w:space="0" w:color="auto"/>
            </w:tcBorders>
          </w:tcPr>
          <w:p w14:paraId="0806DC41" w14:textId="77777777" w:rsidR="005A14DA" w:rsidRPr="005652D3" w:rsidRDefault="005A14DA" w:rsidP="009D106A">
            <w:pPr>
              <w:widowControl/>
              <w:kinsoku w:val="0"/>
              <w:overflowPunct w:val="0"/>
              <w:adjustRightInd w:val="0"/>
              <w:ind w:left="109"/>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fr-CA" w:bidi="fr-CA"/>
              </w:rPr>
              <w:t>DEL</w:t>
            </w:r>
          </w:p>
        </w:tc>
        <w:tc>
          <w:tcPr>
            <w:tcW w:w="450" w:type="dxa"/>
            <w:tcBorders>
              <w:top w:val="single" w:sz="4" w:space="0" w:color="000000"/>
              <w:left w:val="none" w:sz="6" w:space="0" w:color="auto"/>
              <w:bottom w:val="none" w:sz="6" w:space="0" w:color="auto"/>
              <w:right w:val="single" w:sz="4" w:space="0" w:color="000000"/>
            </w:tcBorders>
          </w:tcPr>
          <w:p w14:paraId="0A3C4E42"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val="restart"/>
            <w:tcBorders>
              <w:top w:val="nil"/>
              <w:left w:val="single" w:sz="4" w:space="0" w:color="000000"/>
              <w:bottom w:val="single" w:sz="4" w:space="0" w:color="D9D9D9"/>
              <w:right w:val="single" w:sz="4" w:space="0" w:color="000000"/>
            </w:tcBorders>
          </w:tcPr>
          <w:p w14:paraId="4692E6A2"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single" w:sz="4" w:space="0" w:color="000000"/>
              <w:left w:val="single" w:sz="4" w:space="0" w:color="000000"/>
              <w:bottom w:val="none" w:sz="6" w:space="0" w:color="auto"/>
              <w:right w:val="single" w:sz="4" w:space="0" w:color="000000"/>
            </w:tcBorders>
          </w:tcPr>
          <w:p w14:paraId="0CA6B896" w14:textId="5E617824" w:rsidR="005A14DA" w:rsidRPr="005652D3" w:rsidRDefault="005A14DA" w:rsidP="009D106A">
            <w:pPr>
              <w:widowControl/>
              <w:kinsoku w:val="0"/>
              <w:overflowPunct w:val="0"/>
              <w:adjustRightInd w:val="0"/>
              <w:ind w:left="50"/>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Tous les types</w:t>
            </w:r>
          </w:p>
        </w:tc>
      </w:tr>
      <w:tr w:rsidR="005A14DA" w:rsidRPr="005652D3" w14:paraId="1AD0BA6E" w14:textId="77777777" w:rsidTr="00D47E5E">
        <w:trPr>
          <w:trHeight w:val="233"/>
        </w:trPr>
        <w:tc>
          <w:tcPr>
            <w:tcW w:w="1253" w:type="dxa"/>
            <w:tcBorders>
              <w:top w:val="none" w:sz="6" w:space="0" w:color="auto"/>
              <w:left w:val="single" w:sz="4" w:space="0" w:color="000000"/>
              <w:bottom w:val="none" w:sz="6" w:space="0" w:color="auto"/>
              <w:right w:val="single" w:sz="4" w:space="0" w:color="000000"/>
            </w:tcBorders>
          </w:tcPr>
          <w:p w14:paraId="7B09FC69"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692" w:type="dxa"/>
            <w:tcBorders>
              <w:top w:val="none" w:sz="6" w:space="0" w:color="auto"/>
              <w:left w:val="single" w:sz="4" w:space="0" w:color="000000"/>
              <w:bottom w:val="none" w:sz="6" w:space="0" w:color="auto"/>
              <w:right w:val="single" w:sz="4" w:space="0" w:color="000000"/>
            </w:tcBorders>
          </w:tcPr>
          <w:p w14:paraId="492547E6" w14:textId="77777777" w:rsidR="005A14DA" w:rsidRPr="005416E1" w:rsidRDefault="005A14DA" w:rsidP="009D106A">
            <w:pPr>
              <w:widowControl/>
              <w:tabs>
                <w:tab w:val="decimal" w:pos="340"/>
                <w:tab w:val="decimal" w:pos="1150"/>
              </w:tabs>
              <w:kinsoku w:val="0"/>
              <w:overflowPunct w:val="0"/>
              <w:adjustRightInd w:val="0"/>
              <w:ind w:right="11"/>
              <w:rPr>
                <w:rFonts w:ascii="Arial Narrow" w:eastAsiaTheme="minorHAnsi" w:hAnsi="Arial Narrow" w:cs="Arial"/>
                <w:b/>
                <w:bCs/>
                <w:sz w:val="18"/>
                <w:szCs w:val="18"/>
                <w:lang w:val="en-US" w:eastAsia="en-US" w:bidi="ar-SA"/>
              </w:rPr>
            </w:pPr>
            <w:r w:rsidRPr="005416E1">
              <w:rPr>
                <w:rFonts w:ascii="Gadugi" w:eastAsia="Gadugi" w:hAnsi="Gadugi" w:cs="Gadugi"/>
                <w:b/>
                <w:sz w:val="18"/>
                <w:lang w:val="fr-CA" w:bidi="fr-CA"/>
              </w:rPr>
              <w:tab/>
              <w:t>100 W</w:t>
            </w:r>
            <w:r w:rsidRPr="005416E1">
              <w:rPr>
                <w:rFonts w:ascii="Gadugi" w:eastAsia="Gadugi" w:hAnsi="Gadugi" w:cs="Gadugi"/>
                <w:b/>
                <w:sz w:val="18"/>
                <w:lang w:val="fr-CA" w:bidi="fr-CA"/>
              </w:rPr>
              <w:tab/>
              <w:t>250 W</w:t>
            </w:r>
          </w:p>
        </w:tc>
        <w:tc>
          <w:tcPr>
            <w:tcW w:w="1800" w:type="dxa"/>
            <w:tcBorders>
              <w:top w:val="none" w:sz="6" w:space="0" w:color="auto"/>
              <w:left w:val="single" w:sz="4" w:space="0" w:color="000000"/>
              <w:bottom w:val="none" w:sz="6" w:space="0" w:color="auto"/>
              <w:right w:val="single" w:sz="4" w:space="0" w:color="000000"/>
            </w:tcBorders>
          </w:tcPr>
          <w:p w14:paraId="364410DB" w14:textId="77777777" w:rsidR="005A14DA" w:rsidRPr="00C51B9E" w:rsidRDefault="005A14DA" w:rsidP="009D106A">
            <w:pPr>
              <w:widowControl/>
              <w:tabs>
                <w:tab w:val="decimal" w:pos="360"/>
                <w:tab w:val="decimal" w:pos="990"/>
                <w:tab w:val="decimal" w:pos="1620"/>
              </w:tabs>
              <w:kinsoku w:val="0"/>
              <w:overflowPunct w:val="0"/>
              <w:adjustRightInd w:val="0"/>
              <w:ind w:right="11"/>
              <w:rPr>
                <w:rFonts w:ascii="Arial Narrow" w:eastAsiaTheme="minorHAnsi" w:hAnsi="Arial Narrow" w:cs="Arial"/>
                <w:b/>
                <w:bCs/>
                <w:sz w:val="18"/>
                <w:szCs w:val="18"/>
                <w:lang w:val="en-US" w:eastAsia="en-US" w:bidi="ar-SA"/>
              </w:rPr>
            </w:pPr>
            <w:r w:rsidRPr="00C51B9E">
              <w:rPr>
                <w:rFonts w:ascii="Gadugi" w:eastAsia="Gadugi" w:hAnsi="Gadugi" w:cs="Gadugi"/>
                <w:b/>
                <w:sz w:val="18"/>
                <w:lang w:val="fr-CA" w:bidi="fr-CA"/>
              </w:rPr>
              <w:tab/>
              <w:t>175 W</w:t>
            </w:r>
            <w:r w:rsidRPr="00C51B9E">
              <w:rPr>
                <w:rFonts w:ascii="Gadugi" w:eastAsia="Gadugi" w:hAnsi="Gadugi" w:cs="Gadugi"/>
                <w:b/>
                <w:sz w:val="18"/>
                <w:lang w:val="fr-CA" w:bidi="fr-CA"/>
              </w:rPr>
              <w:tab/>
              <w:t>250 W</w:t>
            </w:r>
            <w:r w:rsidRPr="00C51B9E">
              <w:rPr>
                <w:rFonts w:ascii="Gadugi" w:eastAsia="Gadugi" w:hAnsi="Gadugi" w:cs="Gadugi"/>
                <w:b/>
                <w:sz w:val="18"/>
                <w:lang w:val="fr-CA" w:bidi="fr-CA"/>
              </w:rPr>
              <w:tab/>
              <w:t>400 W</w:t>
            </w:r>
          </w:p>
        </w:tc>
        <w:tc>
          <w:tcPr>
            <w:tcW w:w="529" w:type="dxa"/>
            <w:tcBorders>
              <w:top w:val="none" w:sz="6" w:space="0" w:color="auto"/>
              <w:left w:val="single" w:sz="4" w:space="0" w:color="000000"/>
              <w:bottom w:val="none" w:sz="6" w:space="0" w:color="auto"/>
              <w:right w:val="none" w:sz="6" w:space="0" w:color="auto"/>
            </w:tcBorders>
          </w:tcPr>
          <w:p w14:paraId="6C477447" w14:textId="77777777" w:rsidR="005A14DA" w:rsidRPr="005652D3" w:rsidRDefault="005A14DA" w:rsidP="009D106A">
            <w:pPr>
              <w:widowControl/>
              <w:kinsoku w:val="0"/>
              <w:overflowPunct w:val="0"/>
              <w:adjustRightInd w:val="0"/>
              <w:ind w:left="90"/>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fr-CA" w:bidi="fr-CA"/>
              </w:rPr>
              <w:t>60 W</w:t>
            </w:r>
          </w:p>
        </w:tc>
        <w:tc>
          <w:tcPr>
            <w:tcW w:w="551" w:type="dxa"/>
            <w:tcBorders>
              <w:top w:val="none" w:sz="6" w:space="0" w:color="auto"/>
              <w:left w:val="none" w:sz="6" w:space="0" w:color="auto"/>
              <w:bottom w:val="none" w:sz="6" w:space="0" w:color="auto"/>
              <w:right w:val="none" w:sz="6" w:space="0" w:color="auto"/>
            </w:tcBorders>
          </w:tcPr>
          <w:p w14:paraId="0C44B604" w14:textId="77777777" w:rsidR="005A14DA" w:rsidRPr="005652D3" w:rsidRDefault="005A14DA" w:rsidP="009D106A">
            <w:pPr>
              <w:widowControl/>
              <w:kinsoku w:val="0"/>
              <w:overflowPunct w:val="0"/>
              <w:adjustRightInd w:val="0"/>
              <w:ind w:left="106"/>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fr-CA" w:bidi="fr-CA"/>
              </w:rPr>
              <w:t>90 W</w:t>
            </w:r>
          </w:p>
        </w:tc>
        <w:tc>
          <w:tcPr>
            <w:tcW w:w="558" w:type="dxa"/>
            <w:tcBorders>
              <w:top w:val="none" w:sz="6" w:space="0" w:color="auto"/>
              <w:left w:val="none" w:sz="6" w:space="0" w:color="auto"/>
              <w:bottom w:val="none" w:sz="6" w:space="0" w:color="auto"/>
              <w:right w:val="single" w:sz="4" w:space="0" w:color="000000"/>
            </w:tcBorders>
          </w:tcPr>
          <w:p w14:paraId="4307726C" w14:textId="77777777" w:rsidR="005A14DA" w:rsidRPr="005652D3" w:rsidRDefault="005A14DA" w:rsidP="009D106A">
            <w:pPr>
              <w:widowControl/>
              <w:kinsoku w:val="0"/>
              <w:overflowPunct w:val="0"/>
              <w:adjustRightInd w:val="0"/>
              <w:ind w:left="88"/>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fr-CA" w:bidi="fr-CA"/>
              </w:rPr>
              <w:t>210 W</w:t>
            </w:r>
          </w:p>
        </w:tc>
        <w:tc>
          <w:tcPr>
            <w:tcW w:w="93" w:type="dxa"/>
            <w:vMerge/>
            <w:tcBorders>
              <w:top w:val="nil"/>
              <w:left w:val="single" w:sz="4" w:space="0" w:color="000000"/>
              <w:bottom w:val="single" w:sz="4" w:space="0" w:color="D9D9D9"/>
              <w:right w:val="single" w:sz="4" w:space="0" w:color="000000"/>
            </w:tcBorders>
          </w:tcPr>
          <w:p w14:paraId="0FBD713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1AC94CE" w14:textId="77777777" w:rsidR="005A14DA" w:rsidRPr="005652D3" w:rsidRDefault="005A14DA" w:rsidP="009D106A">
            <w:pPr>
              <w:widowControl/>
              <w:tabs>
                <w:tab w:val="decimal" w:pos="460"/>
                <w:tab w:val="decimal" w:pos="1180"/>
              </w:tabs>
              <w:kinsoku w:val="0"/>
              <w:overflowPunct w:val="0"/>
              <w:adjustRightInd w:val="0"/>
              <w:ind w:left="10"/>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ab/>
              <w:t>100 W</w:t>
            </w:r>
            <w:r w:rsidRPr="005652D3">
              <w:rPr>
                <w:rFonts w:ascii="Gadugi" w:eastAsia="Gadugi" w:hAnsi="Gadugi" w:cs="Gadugi"/>
                <w:b/>
                <w:sz w:val="18"/>
                <w:lang w:val="fr-CA" w:bidi="fr-CA"/>
              </w:rPr>
              <w:tab/>
              <w:t>250 W</w:t>
            </w:r>
          </w:p>
        </w:tc>
        <w:tc>
          <w:tcPr>
            <w:tcW w:w="1871" w:type="dxa"/>
            <w:tcBorders>
              <w:top w:val="none" w:sz="6" w:space="0" w:color="auto"/>
              <w:left w:val="single" w:sz="4" w:space="0" w:color="000000"/>
              <w:bottom w:val="none" w:sz="6" w:space="0" w:color="auto"/>
              <w:right w:val="single" w:sz="4" w:space="0" w:color="000000"/>
            </w:tcBorders>
          </w:tcPr>
          <w:p w14:paraId="04D59687" w14:textId="77777777" w:rsidR="005A14DA" w:rsidRPr="005652D3" w:rsidRDefault="005A14DA" w:rsidP="009D106A">
            <w:pPr>
              <w:widowControl/>
              <w:tabs>
                <w:tab w:val="decimal" w:pos="360"/>
                <w:tab w:val="decimal" w:pos="990"/>
                <w:tab w:val="decimal" w:pos="1710"/>
              </w:tabs>
              <w:kinsoku w:val="0"/>
              <w:overflowPunct w:val="0"/>
              <w:adjustRightInd w:val="0"/>
              <w:rPr>
                <w:rFonts w:ascii="Arial Narrow" w:eastAsiaTheme="minorHAnsi" w:hAnsi="Arial Narrow" w:cs="Arial"/>
                <w:b/>
                <w:bCs/>
                <w:sz w:val="18"/>
                <w:szCs w:val="18"/>
                <w:lang w:val="en-US" w:eastAsia="en-US" w:bidi="ar-SA"/>
              </w:rPr>
            </w:pPr>
            <w:r w:rsidRPr="005652D3">
              <w:rPr>
                <w:rFonts w:ascii="Gadugi" w:eastAsia="Gadugi" w:hAnsi="Gadugi" w:cs="Gadugi"/>
                <w:b/>
                <w:sz w:val="18"/>
                <w:lang w:val="fr-CA" w:bidi="fr-CA"/>
              </w:rPr>
              <w:tab/>
              <w:t>175 W</w:t>
            </w:r>
            <w:r w:rsidRPr="005652D3">
              <w:rPr>
                <w:rFonts w:ascii="Gadugi" w:eastAsia="Gadugi" w:hAnsi="Gadugi" w:cs="Gadugi"/>
                <w:b/>
                <w:sz w:val="18"/>
                <w:lang w:val="fr-CA" w:bidi="fr-CA"/>
              </w:rPr>
              <w:tab/>
              <w:t>250 W</w:t>
            </w:r>
            <w:r w:rsidRPr="005652D3">
              <w:rPr>
                <w:rFonts w:ascii="Gadugi" w:eastAsia="Gadugi" w:hAnsi="Gadugi" w:cs="Gadugi"/>
                <w:b/>
                <w:sz w:val="18"/>
                <w:lang w:val="fr-CA" w:bidi="fr-CA"/>
              </w:rPr>
              <w:tab/>
              <w:t>400 W</w:t>
            </w:r>
          </w:p>
        </w:tc>
        <w:tc>
          <w:tcPr>
            <w:tcW w:w="591" w:type="dxa"/>
            <w:tcBorders>
              <w:top w:val="none" w:sz="6" w:space="0" w:color="auto"/>
              <w:left w:val="single" w:sz="4" w:space="0" w:color="000000"/>
              <w:bottom w:val="none" w:sz="6" w:space="0" w:color="auto"/>
              <w:right w:val="none" w:sz="6" w:space="0" w:color="auto"/>
            </w:tcBorders>
          </w:tcPr>
          <w:p w14:paraId="10FC7DE8" w14:textId="77777777" w:rsidR="005A14DA" w:rsidRPr="005652D3" w:rsidRDefault="005A14DA" w:rsidP="009D106A">
            <w:pPr>
              <w:widowControl/>
              <w:kinsoku w:val="0"/>
              <w:overflowPunct w:val="0"/>
              <w:adjustRightInd w:val="0"/>
              <w:ind w:left="140"/>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fr-CA" w:bidi="fr-CA"/>
              </w:rPr>
              <w:t>60 W</w:t>
            </w:r>
          </w:p>
        </w:tc>
        <w:tc>
          <w:tcPr>
            <w:tcW w:w="540" w:type="dxa"/>
            <w:tcBorders>
              <w:top w:val="none" w:sz="6" w:space="0" w:color="auto"/>
              <w:left w:val="none" w:sz="6" w:space="0" w:color="auto"/>
              <w:bottom w:val="none" w:sz="6" w:space="0" w:color="auto"/>
              <w:right w:val="none" w:sz="6" w:space="0" w:color="auto"/>
            </w:tcBorders>
          </w:tcPr>
          <w:p w14:paraId="4176DDFC" w14:textId="77777777" w:rsidR="005A14DA" w:rsidRPr="005652D3" w:rsidRDefault="005A14DA" w:rsidP="009D106A">
            <w:pPr>
              <w:widowControl/>
              <w:kinsoku w:val="0"/>
              <w:overflowPunct w:val="0"/>
              <w:adjustRightInd w:val="0"/>
              <w:ind w:left="104"/>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fr-CA" w:bidi="fr-CA"/>
              </w:rPr>
              <w:t>90 W</w:t>
            </w:r>
          </w:p>
        </w:tc>
        <w:tc>
          <w:tcPr>
            <w:tcW w:w="450" w:type="dxa"/>
            <w:tcBorders>
              <w:top w:val="none" w:sz="6" w:space="0" w:color="auto"/>
              <w:left w:val="none" w:sz="6" w:space="0" w:color="auto"/>
              <w:bottom w:val="none" w:sz="6" w:space="0" w:color="auto"/>
              <w:right w:val="single" w:sz="4" w:space="0" w:color="000000"/>
            </w:tcBorders>
          </w:tcPr>
          <w:p w14:paraId="082EE8F0" w14:textId="77777777" w:rsidR="005A14DA" w:rsidRPr="005652D3" w:rsidRDefault="005A14DA" w:rsidP="009D106A">
            <w:pPr>
              <w:widowControl/>
              <w:kinsoku w:val="0"/>
              <w:overflowPunct w:val="0"/>
              <w:adjustRightInd w:val="0"/>
              <w:jc w:val="right"/>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fr-CA" w:bidi="fr-CA"/>
              </w:rPr>
              <w:t>210 W</w:t>
            </w:r>
          </w:p>
        </w:tc>
        <w:tc>
          <w:tcPr>
            <w:tcW w:w="74" w:type="dxa"/>
            <w:vMerge/>
            <w:tcBorders>
              <w:top w:val="nil"/>
              <w:left w:val="single" w:sz="4" w:space="0" w:color="000000"/>
              <w:bottom w:val="single" w:sz="4" w:space="0" w:color="D9D9D9"/>
              <w:right w:val="single" w:sz="4" w:space="0" w:color="000000"/>
            </w:tcBorders>
          </w:tcPr>
          <w:p w14:paraId="0AAAF13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tcPr>
          <w:p w14:paraId="5AF597E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r>
      <w:tr w:rsidR="005A14DA" w:rsidRPr="005652D3" w14:paraId="675FD08A" w14:textId="77777777" w:rsidTr="00232F8D">
        <w:trPr>
          <w:trHeight w:val="179"/>
        </w:trPr>
        <w:tc>
          <w:tcPr>
            <w:tcW w:w="1253" w:type="dxa"/>
            <w:tcBorders>
              <w:top w:val="none" w:sz="6" w:space="0" w:color="auto"/>
              <w:left w:val="single" w:sz="4" w:space="0" w:color="000000"/>
              <w:bottom w:val="none" w:sz="6" w:space="0" w:color="auto"/>
              <w:right w:val="single" w:sz="4" w:space="0" w:color="000000"/>
            </w:tcBorders>
          </w:tcPr>
          <w:p w14:paraId="548CD511" w14:textId="77777777" w:rsidR="005A14DA" w:rsidRPr="005652D3" w:rsidRDefault="005A14DA" w:rsidP="009D106A">
            <w:pPr>
              <w:widowControl/>
              <w:kinsoku w:val="0"/>
              <w:overflowPunct w:val="0"/>
              <w:adjustRightInd w:val="0"/>
              <w:spacing w:before="88"/>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Cambridge Bay</w:t>
            </w:r>
          </w:p>
        </w:tc>
        <w:tc>
          <w:tcPr>
            <w:tcW w:w="1692" w:type="dxa"/>
            <w:tcBorders>
              <w:top w:val="none" w:sz="6" w:space="0" w:color="auto"/>
              <w:left w:val="single" w:sz="4" w:space="0" w:color="000000"/>
              <w:bottom w:val="none" w:sz="6" w:space="0" w:color="auto"/>
              <w:right w:val="single" w:sz="4" w:space="0" w:color="000000"/>
            </w:tcBorders>
          </w:tcPr>
          <w:p w14:paraId="39D6D57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43,34</w:t>
            </w:r>
            <w:r w:rsidRPr="005652D3">
              <w:rPr>
                <w:rFonts w:ascii="Gadugi" w:eastAsia="Gadugi" w:hAnsi="Gadugi" w:cs="Gadugi"/>
                <w:sz w:val="18"/>
                <w:lang w:val="fr-CA" w:bidi="fr-CA"/>
              </w:rPr>
              <w:tab/>
              <w:t>70,58</w:t>
            </w:r>
          </w:p>
        </w:tc>
        <w:tc>
          <w:tcPr>
            <w:tcW w:w="1800" w:type="dxa"/>
            <w:tcBorders>
              <w:top w:val="none" w:sz="6" w:space="0" w:color="auto"/>
              <w:left w:val="single" w:sz="4" w:space="0" w:color="000000"/>
              <w:bottom w:val="none" w:sz="6" w:space="0" w:color="auto"/>
              <w:right w:val="single" w:sz="4" w:space="0" w:color="000000"/>
            </w:tcBorders>
          </w:tcPr>
          <w:p w14:paraId="01C87D2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42,99</w:t>
            </w:r>
            <w:r w:rsidRPr="005652D3">
              <w:rPr>
                <w:rFonts w:ascii="Gadugi" w:eastAsia="Gadugi" w:hAnsi="Gadugi" w:cs="Gadugi"/>
                <w:sz w:val="18"/>
                <w:lang w:val="fr-CA" w:bidi="fr-CA"/>
              </w:rPr>
              <w:tab/>
              <w:t>53,16</w:t>
            </w:r>
            <w:r w:rsidRPr="005652D3">
              <w:rPr>
                <w:rFonts w:ascii="Gadugi" w:eastAsia="Gadugi" w:hAnsi="Gadugi" w:cs="Gadugi"/>
                <w:sz w:val="18"/>
                <w:lang w:val="fr-CA" w:bidi="fr-CA"/>
              </w:rPr>
              <w:tab/>
              <w:t>69,84</w:t>
            </w:r>
          </w:p>
        </w:tc>
        <w:tc>
          <w:tcPr>
            <w:tcW w:w="529" w:type="dxa"/>
            <w:tcBorders>
              <w:top w:val="none" w:sz="6" w:space="0" w:color="auto"/>
              <w:left w:val="single" w:sz="4" w:space="0" w:color="000000"/>
              <w:bottom w:val="none" w:sz="6" w:space="0" w:color="auto"/>
              <w:right w:val="none" w:sz="6" w:space="0" w:color="auto"/>
            </w:tcBorders>
            <w:vAlign w:val="bottom"/>
          </w:tcPr>
          <w:p w14:paraId="037697EB" w14:textId="77777777" w:rsidR="005A14DA" w:rsidRPr="005652D3" w:rsidRDefault="005A14DA" w:rsidP="009D106A">
            <w:pPr>
              <w:widowControl/>
              <w:kinsoku w:val="0"/>
              <w:overflowPunct w:val="0"/>
              <w:adjustRightInd w:val="0"/>
              <w:spacing w:before="88"/>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77AEB5D0" w14:textId="77777777" w:rsidR="005A14DA" w:rsidRPr="005652D3" w:rsidRDefault="005A14DA" w:rsidP="009D106A">
            <w:pPr>
              <w:widowControl/>
              <w:kinsoku w:val="0"/>
              <w:overflowPunct w:val="0"/>
              <w:adjustRightInd w:val="0"/>
              <w:spacing w:before="88"/>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0481DA2D" w14:textId="77777777" w:rsidR="005A14DA" w:rsidRPr="005652D3" w:rsidRDefault="005A14DA" w:rsidP="009D106A">
            <w:pPr>
              <w:widowControl/>
              <w:kinsoku w:val="0"/>
              <w:overflowPunct w:val="0"/>
              <w:adjustRightInd w:val="0"/>
              <w:spacing w:before="88"/>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049BB10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3E2909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47,44</w:t>
            </w:r>
            <w:r w:rsidRPr="005652D3">
              <w:rPr>
                <w:rFonts w:ascii="Gadugi" w:eastAsia="Gadugi" w:hAnsi="Gadugi" w:cs="Gadugi"/>
                <w:sz w:val="18"/>
                <w:lang w:val="fr-CA" w:bidi="fr-CA"/>
              </w:rPr>
              <w:tab/>
              <w:t>77,25</w:t>
            </w:r>
          </w:p>
        </w:tc>
        <w:tc>
          <w:tcPr>
            <w:tcW w:w="1871" w:type="dxa"/>
            <w:tcBorders>
              <w:top w:val="none" w:sz="6" w:space="0" w:color="auto"/>
              <w:left w:val="single" w:sz="4" w:space="0" w:color="000000"/>
              <w:bottom w:val="none" w:sz="6" w:space="0" w:color="auto"/>
              <w:right w:val="single" w:sz="4" w:space="0" w:color="000000"/>
            </w:tcBorders>
          </w:tcPr>
          <w:p w14:paraId="05D0C14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47,05</w:t>
            </w:r>
            <w:r w:rsidRPr="005652D3">
              <w:rPr>
                <w:rFonts w:ascii="Gadugi" w:eastAsia="Gadugi" w:hAnsi="Gadugi" w:cs="Gadugi"/>
                <w:sz w:val="18"/>
                <w:lang w:val="fr-CA" w:bidi="fr-CA"/>
              </w:rPr>
              <w:tab/>
              <w:t>58,18</w:t>
            </w:r>
            <w:r w:rsidRPr="005652D3">
              <w:rPr>
                <w:rFonts w:ascii="Gadugi" w:eastAsia="Gadugi" w:hAnsi="Gadugi" w:cs="Gadugi"/>
                <w:sz w:val="18"/>
                <w:lang w:val="fr-CA" w:bidi="fr-CA"/>
              </w:rPr>
              <w:tab/>
              <w:t>76,44</w:t>
            </w:r>
          </w:p>
        </w:tc>
        <w:tc>
          <w:tcPr>
            <w:tcW w:w="591" w:type="dxa"/>
            <w:tcBorders>
              <w:top w:val="none" w:sz="6" w:space="0" w:color="auto"/>
              <w:left w:val="single" w:sz="4" w:space="0" w:color="000000"/>
              <w:bottom w:val="none" w:sz="6" w:space="0" w:color="auto"/>
              <w:right w:val="none" w:sz="6" w:space="0" w:color="auto"/>
            </w:tcBorders>
            <w:vAlign w:val="bottom"/>
          </w:tcPr>
          <w:p w14:paraId="34946A69"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3CC303E7"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207992E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7304930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1899D2F"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7847B378"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1D02E60"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Gjoa Haven</w:t>
            </w:r>
          </w:p>
        </w:tc>
        <w:tc>
          <w:tcPr>
            <w:tcW w:w="1692" w:type="dxa"/>
            <w:tcBorders>
              <w:top w:val="none" w:sz="6" w:space="0" w:color="auto"/>
              <w:left w:val="single" w:sz="4" w:space="0" w:color="000000"/>
              <w:bottom w:val="none" w:sz="6" w:space="0" w:color="auto"/>
              <w:right w:val="single" w:sz="4" w:space="0" w:color="000000"/>
            </w:tcBorders>
          </w:tcPr>
          <w:p w14:paraId="0A8FF67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48,02</w:t>
            </w:r>
            <w:r w:rsidRPr="005652D3">
              <w:rPr>
                <w:rFonts w:ascii="Gadugi" w:eastAsia="Gadugi" w:hAnsi="Gadugi" w:cs="Gadugi"/>
                <w:sz w:val="18"/>
                <w:lang w:val="fr-CA" w:bidi="fr-CA"/>
              </w:rPr>
              <w:tab/>
              <w:t>78,15</w:t>
            </w:r>
          </w:p>
        </w:tc>
        <w:tc>
          <w:tcPr>
            <w:tcW w:w="1800" w:type="dxa"/>
            <w:tcBorders>
              <w:top w:val="none" w:sz="6" w:space="0" w:color="auto"/>
              <w:left w:val="single" w:sz="4" w:space="0" w:color="000000"/>
              <w:bottom w:val="none" w:sz="6" w:space="0" w:color="auto"/>
              <w:right w:val="single" w:sz="4" w:space="0" w:color="000000"/>
            </w:tcBorders>
          </w:tcPr>
          <w:p w14:paraId="4FEEE1A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47,67</w:t>
            </w:r>
            <w:r w:rsidRPr="005652D3">
              <w:rPr>
                <w:rFonts w:ascii="Gadugi" w:eastAsia="Gadugi" w:hAnsi="Gadugi" w:cs="Gadugi"/>
                <w:sz w:val="18"/>
                <w:lang w:val="fr-CA" w:bidi="fr-CA"/>
              </w:rPr>
              <w:tab/>
              <w:t>58,91</w:t>
            </w:r>
            <w:r w:rsidRPr="005652D3">
              <w:rPr>
                <w:rFonts w:ascii="Gadugi" w:eastAsia="Gadugi" w:hAnsi="Gadugi" w:cs="Gadugi"/>
                <w:sz w:val="18"/>
                <w:lang w:val="fr-CA" w:bidi="fr-CA"/>
              </w:rPr>
              <w:tab/>
              <w:t>77,42</w:t>
            </w:r>
          </w:p>
        </w:tc>
        <w:tc>
          <w:tcPr>
            <w:tcW w:w="529" w:type="dxa"/>
            <w:tcBorders>
              <w:top w:val="none" w:sz="6" w:space="0" w:color="auto"/>
              <w:left w:val="single" w:sz="4" w:space="0" w:color="000000"/>
              <w:bottom w:val="none" w:sz="6" w:space="0" w:color="auto"/>
              <w:right w:val="none" w:sz="6" w:space="0" w:color="auto"/>
            </w:tcBorders>
            <w:vAlign w:val="bottom"/>
          </w:tcPr>
          <w:p w14:paraId="1A54E81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46589B50"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504B278D"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6E391DB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036F3D7"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52,56</w:t>
            </w:r>
            <w:r w:rsidRPr="005652D3">
              <w:rPr>
                <w:rFonts w:ascii="Gadugi" w:eastAsia="Gadugi" w:hAnsi="Gadugi" w:cs="Gadugi"/>
                <w:sz w:val="18"/>
                <w:lang w:val="fr-CA" w:bidi="fr-CA"/>
              </w:rPr>
              <w:tab/>
              <w:t>85,54</w:t>
            </w:r>
          </w:p>
        </w:tc>
        <w:tc>
          <w:tcPr>
            <w:tcW w:w="1871" w:type="dxa"/>
            <w:tcBorders>
              <w:top w:val="none" w:sz="6" w:space="0" w:color="auto"/>
              <w:left w:val="single" w:sz="4" w:space="0" w:color="000000"/>
              <w:bottom w:val="none" w:sz="6" w:space="0" w:color="auto"/>
              <w:right w:val="single" w:sz="4" w:space="0" w:color="000000"/>
            </w:tcBorders>
          </w:tcPr>
          <w:p w14:paraId="773555A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52,18</w:t>
            </w:r>
            <w:r w:rsidRPr="005652D3">
              <w:rPr>
                <w:rFonts w:ascii="Gadugi" w:eastAsia="Gadugi" w:hAnsi="Gadugi" w:cs="Gadugi"/>
                <w:sz w:val="18"/>
                <w:lang w:val="fr-CA" w:bidi="fr-CA"/>
              </w:rPr>
              <w:tab/>
              <w:t>64,47</w:t>
            </w:r>
            <w:r w:rsidRPr="005652D3">
              <w:rPr>
                <w:rFonts w:ascii="Gadugi" w:eastAsia="Gadugi" w:hAnsi="Gadugi" w:cs="Gadugi"/>
                <w:sz w:val="18"/>
                <w:lang w:val="fr-CA" w:bidi="fr-CA"/>
              </w:rPr>
              <w:tab/>
              <w:t>84,73</w:t>
            </w:r>
          </w:p>
        </w:tc>
        <w:tc>
          <w:tcPr>
            <w:tcW w:w="591" w:type="dxa"/>
            <w:tcBorders>
              <w:top w:val="none" w:sz="6" w:space="0" w:color="auto"/>
              <w:left w:val="single" w:sz="4" w:space="0" w:color="000000"/>
              <w:bottom w:val="none" w:sz="6" w:space="0" w:color="auto"/>
              <w:right w:val="none" w:sz="6" w:space="0" w:color="auto"/>
            </w:tcBorders>
            <w:vAlign w:val="bottom"/>
          </w:tcPr>
          <w:p w14:paraId="54239346"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73D5D9D7"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6E12FF2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69D319F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297E561"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1275865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1BCFEBF"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Taloyoak</w:t>
            </w:r>
          </w:p>
        </w:tc>
        <w:tc>
          <w:tcPr>
            <w:tcW w:w="1692" w:type="dxa"/>
            <w:tcBorders>
              <w:top w:val="none" w:sz="6" w:space="0" w:color="auto"/>
              <w:left w:val="single" w:sz="4" w:space="0" w:color="000000"/>
              <w:bottom w:val="none" w:sz="6" w:space="0" w:color="auto"/>
              <w:right w:val="single" w:sz="4" w:space="0" w:color="000000"/>
            </w:tcBorders>
          </w:tcPr>
          <w:p w14:paraId="7A85E4D6"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65,76</w:t>
            </w:r>
            <w:r w:rsidRPr="005652D3">
              <w:rPr>
                <w:rFonts w:ascii="Gadugi" w:eastAsia="Gadugi" w:hAnsi="Gadugi" w:cs="Gadugi"/>
                <w:sz w:val="18"/>
                <w:lang w:val="fr-CA" w:bidi="fr-CA"/>
              </w:rPr>
              <w:tab/>
              <w:t>107,19</w:t>
            </w:r>
          </w:p>
        </w:tc>
        <w:tc>
          <w:tcPr>
            <w:tcW w:w="1800" w:type="dxa"/>
            <w:tcBorders>
              <w:top w:val="none" w:sz="6" w:space="0" w:color="auto"/>
              <w:left w:val="single" w:sz="4" w:space="0" w:color="000000"/>
              <w:bottom w:val="none" w:sz="6" w:space="0" w:color="auto"/>
              <w:right w:val="single" w:sz="4" w:space="0" w:color="000000"/>
            </w:tcBorders>
          </w:tcPr>
          <w:p w14:paraId="7DA8E4E4"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65,41</w:t>
            </w:r>
            <w:r w:rsidRPr="005652D3">
              <w:rPr>
                <w:rFonts w:ascii="Gadugi" w:eastAsia="Gadugi" w:hAnsi="Gadugi" w:cs="Gadugi"/>
                <w:sz w:val="18"/>
                <w:lang w:val="fr-CA" w:bidi="fr-CA"/>
              </w:rPr>
              <w:tab/>
              <w:t>80,87</w:t>
            </w:r>
            <w:r w:rsidRPr="005652D3">
              <w:rPr>
                <w:rFonts w:ascii="Gadugi" w:eastAsia="Gadugi" w:hAnsi="Gadugi" w:cs="Gadugi"/>
                <w:sz w:val="18"/>
                <w:lang w:val="fr-CA" w:bidi="fr-CA"/>
              </w:rPr>
              <w:tab/>
              <w:t>106,45</w:t>
            </w:r>
          </w:p>
        </w:tc>
        <w:tc>
          <w:tcPr>
            <w:tcW w:w="529" w:type="dxa"/>
            <w:tcBorders>
              <w:top w:val="none" w:sz="6" w:space="0" w:color="auto"/>
              <w:left w:val="single" w:sz="4" w:space="0" w:color="000000"/>
              <w:bottom w:val="none" w:sz="6" w:space="0" w:color="auto"/>
              <w:right w:val="none" w:sz="6" w:space="0" w:color="auto"/>
            </w:tcBorders>
            <w:vAlign w:val="bottom"/>
          </w:tcPr>
          <w:p w14:paraId="5362087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72EBD75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5CB1B03F"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27C35A3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C680CEE"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71,97</w:t>
            </w:r>
            <w:r w:rsidRPr="005652D3">
              <w:rPr>
                <w:rFonts w:ascii="Gadugi" w:eastAsia="Gadugi" w:hAnsi="Gadugi" w:cs="Gadugi"/>
                <w:sz w:val="18"/>
                <w:lang w:val="fr-CA" w:bidi="fr-CA"/>
              </w:rPr>
              <w:tab/>
              <w:t>117,31</w:t>
            </w:r>
          </w:p>
        </w:tc>
        <w:tc>
          <w:tcPr>
            <w:tcW w:w="1871" w:type="dxa"/>
            <w:tcBorders>
              <w:top w:val="none" w:sz="6" w:space="0" w:color="auto"/>
              <w:left w:val="single" w:sz="4" w:space="0" w:color="000000"/>
              <w:bottom w:val="none" w:sz="6" w:space="0" w:color="auto"/>
              <w:right w:val="single" w:sz="4" w:space="0" w:color="000000"/>
            </w:tcBorders>
          </w:tcPr>
          <w:p w14:paraId="0EC4B4F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71,59</w:t>
            </w:r>
            <w:r w:rsidRPr="005652D3">
              <w:rPr>
                <w:rFonts w:ascii="Gadugi" w:eastAsia="Gadugi" w:hAnsi="Gadugi" w:cs="Gadugi"/>
                <w:sz w:val="18"/>
                <w:lang w:val="fr-CA" w:bidi="fr-CA"/>
              </w:rPr>
              <w:tab/>
              <w:t>88,51</w:t>
            </w:r>
            <w:r w:rsidRPr="005652D3">
              <w:rPr>
                <w:rFonts w:ascii="Gadugi" w:eastAsia="Gadugi" w:hAnsi="Gadugi" w:cs="Gadugi"/>
                <w:sz w:val="18"/>
                <w:lang w:val="fr-CA" w:bidi="fr-CA"/>
              </w:rPr>
              <w:tab/>
              <w:t>116,51</w:t>
            </w:r>
          </w:p>
        </w:tc>
        <w:tc>
          <w:tcPr>
            <w:tcW w:w="591" w:type="dxa"/>
            <w:tcBorders>
              <w:top w:val="none" w:sz="6" w:space="0" w:color="auto"/>
              <w:left w:val="single" w:sz="4" w:space="0" w:color="000000"/>
              <w:bottom w:val="none" w:sz="6" w:space="0" w:color="auto"/>
              <w:right w:val="none" w:sz="6" w:space="0" w:color="auto"/>
            </w:tcBorders>
            <w:vAlign w:val="bottom"/>
          </w:tcPr>
          <w:p w14:paraId="2B60466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27796D8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786BAFE7"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5648254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8CB187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2613AAF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41B0530F"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Kugaaruk</w:t>
            </w:r>
          </w:p>
        </w:tc>
        <w:tc>
          <w:tcPr>
            <w:tcW w:w="1692" w:type="dxa"/>
            <w:tcBorders>
              <w:top w:val="none" w:sz="6" w:space="0" w:color="auto"/>
              <w:left w:val="single" w:sz="4" w:space="0" w:color="000000"/>
              <w:bottom w:val="none" w:sz="6" w:space="0" w:color="auto"/>
              <w:right w:val="single" w:sz="4" w:space="0" w:color="000000"/>
            </w:tcBorders>
          </w:tcPr>
          <w:p w14:paraId="246F45E9"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54,15</w:t>
            </w:r>
            <w:r w:rsidRPr="005652D3">
              <w:rPr>
                <w:rFonts w:ascii="Gadugi" w:eastAsia="Gadugi" w:hAnsi="Gadugi" w:cs="Gadugi"/>
                <w:sz w:val="18"/>
                <w:lang w:val="fr-CA" w:bidi="fr-CA"/>
              </w:rPr>
              <w:tab/>
              <w:t>88,21</w:t>
            </w:r>
          </w:p>
        </w:tc>
        <w:tc>
          <w:tcPr>
            <w:tcW w:w="1800" w:type="dxa"/>
            <w:tcBorders>
              <w:top w:val="none" w:sz="6" w:space="0" w:color="auto"/>
              <w:left w:val="single" w:sz="4" w:space="0" w:color="000000"/>
              <w:bottom w:val="none" w:sz="6" w:space="0" w:color="auto"/>
              <w:right w:val="single" w:sz="4" w:space="0" w:color="000000"/>
            </w:tcBorders>
          </w:tcPr>
          <w:p w14:paraId="5BD9BED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53,81</w:t>
            </w:r>
            <w:r w:rsidRPr="005652D3">
              <w:rPr>
                <w:rFonts w:ascii="Gadugi" w:eastAsia="Gadugi" w:hAnsi="Gadugi" w:cs="Gadugi"/>
                <w:sz w:val="18"/>
                <w:lang w:val="fr-CA" w:bidi="fr-CA"/>
              </w:rPr>
              <w:tab/>
              <w:t>66,49</w:t>
            </w:r>
            <w:r w:rsidRPr="005652D3">
              <w:rPr>
                <w:rFonts w:ascii="Gadugi" w:eastAsia="Gadugi" w:hAnsi="Gadugi" w:cs="Gadugi"/>
                <w:sz w:val="18"/>
                <w:lang w:val="fr-CA" w:bidi="fr-CA"/>
              </w:rPr>
              <w:tab/>
              <w:t>87,47</w:t>
            </w:r>
          </w:p>
        </w:tc>
        <w:tc>
          <w:tcPr>
            <w:tcW w:w="529" w:type="dxa"/>
            <w:tcBorders>
              <w:top w:val="none" w:sz="6" w:space="0" w:color="auto"/>
              <w:left w:val="single" w:sz="4" w:space="0" w:color="000000"/>
              <w:bottom w:val="none" w:sz="6" w:space="0" w:color="auto"/>
              <w:right w:val="none" w:sz="6" w:space="0" w:color="auto"/>
            </w:tcBorders>
            <w:vAlign w:val="bottom"/>
          </w:tcPr>
          <w:p w14:paraId="4B7BAEC6"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62ECCC40"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3164A9CA"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7DD26B7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C72BB0F"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59,27</w:t>
            </w:r>
            <w:r w:rsidRPr="005652D3">
              <w:rPr>
                <w:rFonts w:ascii="Gadugi" w:eastAsia="Gadugi" w:hAnsi="Gadugi" w:cs="Gadugi"/>
                <w:sz w:val="18"/>
                <w:lang w:val="fr-CA" w:bidi="fr-CA"/>
              </w:rPr>
              <w:tab/>
              <w:t>96,55</w:t>
            </w:r>
          </w:p>
        </w:tc>
        <w:tc>
          <w:tcPr>
            <w:tcW w:w="1871" w:type="dxa"/>
            <w:tcBorders>
              <w:top w:val="none" w:sz="6" w:space="0" w:color="auto"/>
              <w:left w:val="single" w:sz="4" w:space="0" w:color="000000"/>
              <w:bottom w:val="none" w:sz="6" w:space="0" w:color="auto"/>
              <w:right w:val="single" w:sz="4" w:space="0" w:color="000000"/>
            </w:tcBorders>
          </w:tcPr>
          <w:p w14:paraId="287EF2B6"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58,89</w:t>
            </w:r>
            <w:r w:rsidRPr="005652D3">
              <w:rPr>
                <w:rFonts w:ascii="Gadugi" w:eastAsia="Gadugi" w:hAnsi="Gadugi" w:cs="Gadugi"/>
                <w:sz w:val="18"/>
                <w:lang w:val="fr-CA" w:bidi="fr-CA"/>
              </w:rPr>
              <w:tab/>
              <w:t>72,77</w:t>
            </w:r>
            <w:r w:rsidRPr="005652D3">
              <w:rPr>
                <w:rFonts w:ascii="Gadugi" w:eastAsia="Gadugi" w:hAnsi="Gadugi" w:cs="Gadugi"/>
                <w:sz w:val="18"/>
                <w:lang w:val="fr-CA" w:bidi="fr-CA"/>
              </w:rPr>
              <w:tab/>
              <w:t>95,74</w:t>
            </w:r>
          </w:p>
        </w:tc>
        <w:tc>
          <w:tcPr>
            <w:tcW w:w="591" w:type="dxa"/>
            <w:tcBorders>
              <w:top w:val="none" w:sz="6" w:space="0" w:color="auto"/>
              <w:left w:val="single" w:sz="4" w:space="0" w:color="000000"/>
              <w:bottom w:val="none" w:sz="6" w:space="0" w:color="auto"/>
              <w:right w:val="none" w:sz="6" w:space="0" w:color="auto"/>
            </w:tcBorders>
            <w:vAlign w:val="bottom"/>
          </w:tcPr>
          <w:p w14:paraId="2931F5CD"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7CAF9076"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7645FAA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75AD8ED7"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E4DB489"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555D466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B91716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Kugluktuk</w:t>
            </w:r>
          </w:p>
        </w:tc>
        <w:tc>
          <w:tcPr>
            <w:tcW w:w="1692" w:type="dxa"/>
            <w:tcBorders>
              <w:top w:val="none" w:sz="6" w:space="0" w:color="auto"/>
              <w:left w:val="single" w:sz="4" w:space="0" w:color="000000"/>
              <w:bottom w:val="none" w:sz="6" w:space="0" w:color="auto"/>
              <w:right w:val="single" w:sz="4" w:space="0" w:color="000000"/>
            </w:tcBorders>
          </w:tcPr>
          <w:p w14:paraId="75B79F4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68,74</w:t>
            </w:r>
            <w:r w:rsidRPr="005652D3">
              <w:rPr>
                <w:rFonts w:ascii="Gadugi" w:eastAsia="Gadugi" w:hAnsi="Gadugi" w:cs="Gadugi"/>
                <w:sz w:val="18"/>
                <w:lang w:val="fr-CA" w:bidi="fr-CA"/>
              </w:rPr>
              <w:tab/>
              <w:t>112,11</w:t>
            </w:r>
          </w:p>
        </w:tc>
        <w:tc>
          <w:tcPr>
            <w:tcW w:w="1800" w:type="dxa"/>
            <w:tcBorders>
              <w:top w:val="none" w:sz="6" w:space="0" w:color="auto"/>
              <w:left w:val="single" w:sz="4" w:space="0" w:color="000000"/>
              <w:bottom w:val="none" w:sz="6" w:space="0" w:color="auto"/>
              <w:right w:val="single" w:sz="4" w:space="0" w:color="000000"/>
            </w:tcBorders>
          </w:tcPr>
          <w:p w14:paraId="20666F77"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68,39</w:t>
            </w:r>
            <w:r w:rsidRPr="005652D3">
              <w:rPr>
                <w:rFonts w:ascii="Gadugi" w:eastAsia="Gadugi" w:hAnsi="Gadugi" w:cs="Gadugi"/>
                <w:sz w:val="18"/>
                <w:lang w:val="fr-CA" w:bidi="fr-CA"/>
              </w:rPr>
              <w:tab/>
              <w:t>84,61</w:t>
            </w:r>
            <w:r w:rsidRPr="005652D3">
              <w:rPr>
                <w:rFonts w:ascii="Gadugi" w:eastAsia="Gadugi" w:hAnsi="Gadugi" w:cs="Gadugi"/>
                <w:sz w:val="18"/>
                <w:lang w:val="fr-CA" w:bidi="fr-CA"/>
              </w:rPr>
              <w:tab/>
              <w:t>111,37</w:t>
            </w:r>
          </w:p>
        </w:tc>
        <w:tc>
          <w:tcPr>
            <w:tcW w:w="529" w:type="dxa"/>
            <w:tcBorders>
              <w:top w:val="none" w:sz="6" w:space="0" w:color="auto"/>
              <w:left w:val="single" w:sz="4" w:space="0" w:color="000000"/>
              <w:bottom w:val="none" w:sz="6" w:space="0" w:color="auto"/>
              <w:right w:val="none" w:sz="6" w:space="0" w:color="auto"/>
            </w:tcBorders>
            <w:vAlign w:val="bottom"/>
          </w:tcPr>
          <w:p w14:paraId="14CEE7B3"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609B6BB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4580DD7E"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7BBE0E9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45421B82"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75,23</w:t>
            </w:r>
            <w:r w:rsidRPr="005652D3">
              <w:rPr>
                <w:rFonts w:ascii="Gadugi" w:eastAsia="Gadugi" w:hAnsi="Gadugi" w:cs="Gadugi"/>
                <w:sz w:val="18"/>
                <w:lang w:val="fr-CA" w:bidi="fr-CA"/>
              </w:rPr>
              <w:tab/>
              <w:t>122,70</w:t>
            </w:r>
          </w:p>
        </w:tc>
        <w:tc>
          <w:tcPr>
            <w:tcW w:w="1871" w:type="dxa"/>
            <w:tcBorders>
              <w:top w:val="none" w:sz="6" w:space="0" w:color="auto"/>
              <w:left w:val="single" w:sz="4" w:space="0" w:color="000000"/>
              <w:bottom w:val="none" w:sz="6" w:space="0" w:color="auto"/>
              <w:right w:val="single" w:sz="4" w:space="0" w:color="000000"/>
            </w:tcBorders>
          </w:tcPr>
          <w:p w14:paraId="142618A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74,85</w:t>
            </w:r>
            <w:r w:rsidRPr="005652D3">
              <w:rPr>
                <w:rFonts w:ascii="Gadugi" w:eastAsia="Gadugi" w:hAnsi="Gadugi" w:cs="Gadugi"/>
                <w:sz w:val="18"/>
                <w:lang w:val="fr-CA" w:bidi="fr-CA"/>
              </w:rPr>
              <w:tab/>
              <w:t>92,61</w:t>
            </w:r>
            <w:r w:rsidRPr="005652D3">
              <w:rPr>
                <w:rFonts w:ascii="Gadugi" w:eastAsia="Gadugi" w:hAnsi="Gadugi" w:cs="Gadugi"/>
                <w:sz w:val="18"/>
                <w:lang w:val="fr-CA" w:bidi="fr-CA"/>
              </w:rPr>
              <w:tab/>
              <w:t>121,89</w:t>
            </w:r>
          </w:p>
        </w:tc>
        <w:tc>
          <w:tcPr>
            <w:tcW w:w="591" w:type="dxa"/>
            <w:tcBorders>
              <w:top w:val="none" w:sz="6" w:space="0" w:color="auto"/>
              <w:left w:val="single" w:sz="4" w:space="0" w:color="000000"/>
              <w:bottom w:val="none" w:sz="6" w:space="0" w:color="auto"/>
              <w:right w:val="none" w:sz="6" w:space="0" w:color="auto"/>
            </w:tcBorders>
            <w:vAlign w:val="bottom"/>
          </w:tcPr>
          <w:p w14:paraId="148D858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14478BD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17CC991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1F1AB77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EFE1AF6"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1BDF7AAF"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663B57C"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Rankin Inlet</w:t>
            </w:r>
          </w:p>
        </w:tc>
        <w:tc>
          <w:tcPr>
            <w:tcW w:w="1692" w:type="dxa"/>
            <w:tcBorders>
              <w:top w:val="none" w:sz="6" w:space="0" w:color="auto"/>
              <w:left w:val="single" w:sz="4" w:space="0" w:color="000000"/>
              <w:bottom w:val="none" w:sz="6" w:space="0" w:color="auto"/>
              <w:right w:val="single" w:sz="4" w:space="0" w:color="000000"/>
            </w:tcBorders>
          </w:tcPr>
          <w:p w14:paraId="6A3659D8"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40,09</w:t>
            </w:r>
            <w:r w:rsidRPr="005652D3">
              <w:rPr>
                <w:rFonts w:ascii="Gadugi" w:eastAsia="Gadugi" w:hAnsi="Gadugi" w:cs="Gadugi"/>
                <w:sz w:val="18"/>
                <w:lang w:val="fr-CA" w:bidi="fr-CA"/>
              </w:rPr>
              <w:tab/>
              <w:t>65,23</w:t>
            </w:r>
          </w:p>
        </w:tc>
        <w:tc>
          <w:tcPr>
            <w:tcW w:w="1800" w:type="dxa"/>
            <w:tcBorders>
              <w:top w:val="none" w:sz="6" w:space="0" w:color="auto"/>
              <w:left w:val="single" w:sz="4" w:space="0" w:color="000000"/>
              <w:bottom w:val="none" w:sz="6" w:space="0" w:color="auto"/>
              <w:right w:val="single" w:sz="4" w:space="0" w:color="000000"/>
            </w:tcBorders>
          </w:tcPr>
          <w:p w14:paraId="4221A0C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39,74</w:t>
            </w:r>
            <w:r w:rsidRPr="005652D3">
              <w:rPr>
                <w:rFonts w:ascii="Gadugi" w:eastAsia="Gadugi" w:hAnsi="Gadugi" w:cs="Gadugi"/>
                <w:sz w:val="18"/>
                <w:lang w:val="fr-CA" w:bidi="fr-CA"/>
              </w:rPr>
              <w:tab/>
              <w:t>49,10</w:t>
            </w:r>
            <w:r w:rsidRPr="005652D3">
              <w:rPr>
                <w:rFonts w:ascii="Gadugi" w:eastAsia="Gadugi" w:hAnsi="Gadugi" w:cs="Gadugi"/>
                <w:sz w:val="18"/>
                <w:lang w:val="fr-CA" w:bidi="fr-CA"/>
              </w:rPr>
              <w:tab/>
              <w:t>64,49</w:t>
            </w:r>
          </w:p>
        </w:tc>
        <w:tc>
          <w:tcPr>
            <w:tcW w:w="529" w:type="dxa"/>
            <w:tcBorders>
              <w:top w:val="none" w:sz="6" w:space="0" w:color="auto"/>
              <w:left w:val="single" w:sz="4" w:space="0" w:color="000000"/>
              <w:bottom w:val="none" w:sz="6" w:space="0" w:color="auto"/>
              <w:right w:val="none" w:sz="6" w:space="0" w:color="auto"/>
            </w:tcBorders>
            <w:vAlign w:val="bottom"/>
          </w:tcPr>
          <w:p w14:paraId="1F223FC0"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7FF45E78"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5CD92ADC"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124E312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CBFBED1"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43,88</w:t>
            </w:r>
            <w:r w:rsidRPr="005652D3">
              <w:rPr>
                <w:rFonts w:ascii="Gadugi" w:eastAsia="Gadugi" w:hAnsi="Gadugi" w:cs="Gadugi"/>
                <w:sz w:val="18"/>
                <w:lang w:val="fr-CA" w:bidi="fr-CA"/>
              </w:rPr>
              <w:tab/>
              <w:t>71,39</w:t>
            </w:r>
          </w:p>
        </w:tc>
        <w:tc>
          <w:tcPr>
            <w:tcW w:w="1871" w:type="dxa"/>
            <w:tcBorders>
              <w:top w:val="none" w:sz="6" w:space="0" w:color="auto"/>
              <w:left w:val="single" w:sz="4" w:space="0" w:color="000000"/>
              <w:bottom w:val="none" w:sz="6" w:space="0" w:color="auto"/>
              <w:right w:val="single" w:sz="4" w:space="0" w:color="000000"/>
            </w:tcBorders>
          </w:tcPr>
          <w:p w14:paraId="43082D1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43,49</w:t>
            </w:r>
            <w:r w:rsidRPr="005652D3">
              <w:rPr>
                <w:rFonts w:ascii="Gadugi" w:eastAsia="Gadugi" w:hAnsi="Gadugi" w:cs="Gadugi"/>
                <w:sz w:val="18"/>
                <w:lang w:val="fr-CA" w:bidi="fr-CA"/>
              </w:rPr>
              <w:tab/>
              <w:t>53,74</w:t>
            </w:r>
            <w:r w:rsidRPr="005652D3">
              <w:rPr>
                <w:rFonts w:ascii="Gadugi" w:eastAsia="Gadugi" w:hAnsi="Gadugi" w:cs="Gadugi"/>
                <w:sz w:val="18"/>
                <w:lang w:val="fr-CA" w:bidi="fr-CA"/>
              </w:rPr>
              <w:tab/>
              <w:t>70,59</w:t>
            </w:r>
          </w:p>
        </w:tc>
        <w:tc>
          <w:tcPr>
            <w:tcW w:w="591" w:type="dxa"/>
            <w:tcBorders>
              <w:top w:val="none" w:sz="6" w:space="0" w:color="auto"/>
              <w:left w:val="single" w:sz="4" w:space="0" w:color="000000"/>
              <w:bottom w:val="none" w:sz="6" w:space="0" w:color="auto"/>
              <w:right w:val="none" w:sz="6" w:space="0" w:color="auto"/>
            </w:tcBorders>
            <w:vAlign w:val="bottom"/>
          </w:tcPr>
          <w:p w14:paraId="2BB7C5E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442FAE8B"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7447E7DB"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0596A2D7"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7EF1C35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1C0F96A1"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7724724"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Baker Lake</w:t>
            </w:r>
          </w:p>
        </w:tc>
        <w:tc>
          <w:tcPr>
            <w:tcW w:w="1692" w:type="dxa"/>
            <w:tcBorders>
              <w:top w:val="none" w:sz="6" w:space="0" w:color="auto"/>
              <w:left w:val="single" w:sz="4" w:space="0" w:color="000000"/>
              <w:bottom w:val="none" w:sz="6" w:space="0" w:color="auto"/>
              <w:right w:val="single" w:sz="4" w:space="0" w:color="000000"/>
            </w:tcBorders>
          </w:tcPr>
          <w:p w14:paraId="2620196E"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40,44</w:t>
            </w:r>
            <w:r w:rsidRPr="005652D3">
              <w:rPr>
                <w:rFonts w:ascii="Gadugi" w:eastAsia="Gadugi" w:hAnsi="Gadugi" w:cs="Gadugi"/>
                <w:sz w:val="18"/>
                <w:lang w:val="fr-CA" w:bidi="fr-CA"/>
              </w:rPr>
              <w:tab/>
              <w:t>65,78</w:t>
            </w:r>
          </w:p>
        </w:tc>
        <w:tc>
          <w:tcPr>
            <w:tcW w:w="1800" w:type="dxa"/>
            <w:tcBorders>
              <w:top w:val="none" w:sz="6" w:space="0" w:color="auto"/>
              <w:left w:val="single" w:sz="4" w:space="0" w:color="000000"/>
              <w:bottom w:val="none" w:sz="6" w:space="0" w:color="auto"/>
              <w:right w:val="single" w:sz="4" w:space="0" w:color="000000"/>
            </w:tcBorders>
          </w:tcPr>
          <w:p w14:paraId="387C534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40,09</w:t>
            </w:r>
            <w:r w:rsidRPr="005652D3">
              <w:rPr>
                <w:rFonts w:ascii="Gadugi" w:eastAsia="Gadugi" w:hAnsi="Gadugi" w:cs="Gadugi"/>
                <w:sz w:val="18"/>
                <w:lang w:val="fr-CA" w:bidi="fr-CA"/>
              </w:rPr>
              <w:tab/>
              <w:t>49,55</w:t>
            </w:r>
            <w:r w:rsidRPr="005652D3">
              <w:rPr>
                <w:rFonts w:ascii="Gadugi" w:eastAsia="Gadugi" w:hAnsi="Gadugi" w:cs="Gadugi"/>
                <w:sz w:val="18"/>
                <w:lang w:val="fr-CA" w:bidi="fr-CA"/>
              </w:rPr>
              <w:tab/>
              <w:t>65,04</w:t>
            </w:r>
          </w:p>
        </w:tc>
        <w:tc>
          <w:tcPr>
            <w:tcW w:w="529" w:type="dxa"/>
            <w:tcBorders>
              <w:top w:val="none" w:sz="6" w:space="0" w:color="auto"/>
              <w:left w:val="single" w:sz="4" w:space="0" w:color="000000"/>
              <w:bottom w:val="none" w:sz="6" w:space="0" w:color="auto"/>
              <w:right w:val="none" w:sz="6" w:space="0" w:color="auto"/>
            </w:tcBorders>
            <w:vAlign w:val="bottom"/>
          </w:tcPr>
          <w:p w14:paraId="149374C1"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77F2DF29"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3B6819F0"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23B7D15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DE70FE8"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44,26</w:t>
            </w:r>
            <w:r w:rsidRPr="005652D3">
              <w:rPr>
                <w:rFonts w:ascii="Gadugi" w:eastAsia="Gadugi" w:hAnsi="Gadugi" w:cs="Gadugi"/>
                <w:sz w:val="18"/>
                <w:lang w:val="fr-CA" w:bidi="fr-CA"/>
              </w:rPr>
              <w:tab/>
              <w:t>72,00</w:t>
            </w:r>
          </w:p>
        </w:tc>
        <w:tc>
          <w:tcPr>
            <w:tcW w:w="1871" w:type="dxa"/>
            <w:tcBorders>
              <w:top w:val="none" w:sz="6" w:space="0" w:color="auto"/>
              <w:left w:val="single" w:sz="4" w:space="0" w:color="000000"/>
              <w:bottom w:val="none" w:sz="6" w:space="0" w:color="auto"/>
              <w:right w:val="single" w:sz="4" w:space="0" w:color="000000"/>
            </w:tcBorders>
          </w:tcPr>
          <w:p w14:paraId="045A298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43,88</w:t>
            </w:r>
            <w:r w:rsidRPr="005652D3">
              <w:rPr>
                <w:rFonts w:ascii="Gadugi" w:eastAsia="Gadugi" w:hAnsi="Gadugi" w:cs="Gadugi"/>
                <w:sz w:val="18"/>
                <w:lang w:val="fr-CA" w:bidi="fr-CA"/>
              </w:rPr>
              <w:tab/>
              <w:t>54,23</w:t>
            </w:r>
            <w:r w:rsidRPr="005652D3">
              <w:rPr>
                <w:rFonts w:ascii="Gadugi" w:eastAsia="Gadugi" w:hAnsi="Gadugi" w:cs="Gadugi"/>
                <w:sz w:val="18"/>
                <w:lang w:val="fr-CA" w:bidi="fr-CA"/>
              </w:rPr>
              <w:tab/>
              <w:t>71,19</w:t>
            </w:r>
          </w:p>
        </w:tc>
        <w:tc>
          <w:tcPr>
            <w:tcW w:w="591" w:type="dxa"/>
            <w:tcBorders>
              <w:top w:val="none" w:sz="6" w:space="0" w:color="auto"/>
              <w:left w:val="single" w:sz="4" w:space="0" w:color="000000"/>
              <w:bottom w:val="none" w:sz="6" w:space="0" w:color="auto"/>
              <w:right w:val="none" w:sz="6" w:space="0" w:color="auto"/>
            </w:tcBorders>
            <w:vAlign w:val="bottom"/>
          </w:tcPr>
          <w:p w14:paraId="11F8B9C7"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0DFBB993"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0D0AEB50"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76F2044C"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D9BC63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4609BA5F"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1D125AE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Arviat</w:t>
            </w:r>
          </w:p>
        </w:tc>
        <w:tc>
          <w:tcPr>
            <w:tcW w:w="1692" w:type="dxa"/>
            <w:tcBorders>
              <w:top w:val="none" w:sz="6" w:space="0" w:color="auto"/>
              <w:left w:val="single" w:sz="4" w:space="0" w:color="000000"/>
              <w:bottom w:val="none" w:sz="6" w:space="0" w:color="auto"/>
              <w:right w:val="single" w:sz="4" w:space="0" w:color="000000"/>
            </w:tcBorders>
          </w:tcPr>
          <w:p w14:paraId="64355303"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35,37</w:t>
            </w:r>
            <w:r w:rsidRPr="005652D3">
              <w:rPr>
                <w:rFonts w:ascii="Gadugi" w:eastAsia="Gadugi" w:hAnsi="Gadugi" w:cs="Gadugi"/>
                <w:sz w:val="18"/>
                <w:lang w:val="fr-CA" w:bidi="fr-CA"/>
              </w:rPr>
              <w:tab/>
              <w:t>57,49</w:t>
            </w:r>
          </w:p>
        </w:tc>
        <w:tc>
          <w:tcPr>
            <w:tcW w:w="1800" w:type="dxa"/>
            <w:tcBorders>
              <w:top w:val="none" w:sz="6" w:space="0" w:color="auto"/>
              <w:left w:val="single" w:sz="4" w:space="0" w:color="000000"/>
              <w:bottom w:val="none" w:sz="6" w:space="0" w:color="auto"/>
              <w:right w:val="single" w:sz="4" w:space="0" w:color="000000"/>
            </w:tcBorders>
          </w:tcPr>
          <w:p w14:paraId="6CBE7BC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35,02</w:t>
            </w:r>
            <w:r w:rsidRPr="005652D3">
              <w:rPr>
                <w:rFonts w:ascii="Gadugi" w:eastAsia="Gadugi" w:hAnsi="Gadugi" w:cs="Gadugi"/>
                <w:sz w:val="18"/>
                <w:lang w:val="fr-CA" w:bidi="fr-CA"/>
              </w:rPr>
              <w:tab/>
              <w:t>43,23</w:t>
            </w:r>
            <w:r w:rsidRPr="005652D3">
              <w:rPr>
                <w:rFonts w:ascii="Gadugi" w:eastAsia="Gadugi" w:hAnsi="Gadugi" w:cs="Gadugi"/>
                <w:sz w:val="18"/>
                <w:lang w:val="fr-CA" w:bidi="fr-CA"/>
              </w:rPr>
              <w:tab/>
              <w:t>56,75</w:t>
            </w:r>
          </w:p>
        </w:tc>
        <w:tc>
          <w:tcPr>
            <w:tcW w:w="529" w:type="dxa"/>
            <w:tcBorders>
              <w:top w:val="none" w:sz="6" w:space="0" w:color="auto"/>
              <w:left w:val="single" w:sz="4" w:space="0" w:color="000000"/>
              <w:bottom w:val="none" w:sz="6" w:space="0" w:color="auto"/>
              <w:right w:val="none" w:sz="6" w:space="0" w:color="auto"/>
            </w:tcBorders>
            <w:vAlign w:val="bottom"/>
          </w:tcPr>
          <w:p w14:paraId="62A0158D"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3267B75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4FF13469"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737475A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5D1D1B8"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38,71</w:t>
            </w:r>
            <w:r w:rsidRPr="005652D3">
              <w:rPr>
                <w:rFonts w:ascii="Gadugi" w:eastAsia="Gadugi" w:hAnsi="Gadugi" w:cs="Gadugi"/>
                <w:sz w:val="18"/>
                <w:lang w:val="fr-CA" w:bidi="fr-CA"/>
              </w:rPr>
              <w:tab/>
              <w:t>62,92</w:t>
            </w:r>
          </w:p>
        </w:tc>
        <w:tc>
          <w:tcPr>
            <w:tcW w:w="1871" w:type="dxa"/>
            <w:tcBorders>
              <w:top w:val="none" w:sz="6" w:space="0" w:color="auto"/>
              <w:left w:val="single" w:sz="4" w:space="0" w:color="000000"/>
              <w:bottom w:val="none" w:sz="6" w:space="0" w:color="auto"/>
              <w:right w:val="single" w:sz="4" w:space="0" w:color="000000"/>
            </w:tcBorders>
          </w:tcPr>
          <w:p w14:paraId="6D676213"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38,33</w:t>
            </w:r>
            <w:r w:rsidRPr="005652D3">
              <w:rPr>
                <w:rFonts w:ascii="Gadugi" w:eastAsia="Gadugi" w:hAnsi="Gadugi" w:cs="Gadugi"/>
                <w:sz w:val="18"/>
                <w:lang w:val="fr-CA" w:bidi="fr-CA"/>
              </w:rPr>
              <w:tab/>
              <w:t>47,32</w:t>
            </w:r>
            <w:r w:rsidRPr="005652D3">
              <w:rPr>
                <w:rFonts w:ascii="Gadugi" w:eastAsia="Gadugi" w:hAnsi="Gadugi" w:cs="Gadugi"/>
                <w:sz w:val="18"/>
                <w:lang w:val="fr-CA" w:bidi="fr-CA"/>
              </w:rPr>
              <w:tab/>
              <w:t>62,11</w:t>
            </w:r>
          </w:p>
        </w:tc>
        <w:tc>
          <w:tcPr>
            <w:tcW w:w="591" w:type="dxa"/>
            <w:tcBorders>
              <w:top w:val="none" w:sz="6" w:space="0" w:color="auto"/>
              <w:left w:val="single" w:sz="4" w:space="0" w:color="000000"/>
              <w:bottom w:val="none" w:sz="6" w:space="0" w:color="auto"/>
              <w:right w:val="none" w:sz="6" w:space="0" w:color="auto"/>
            </w:tcBorders>
            <w:vAlign w:val="bottom"/>
          </w:tcPr>
          <w:p w14:paraId="322A51C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1C8F7E2F"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47E88A78"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3F14FCA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32E65F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19A2996A"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E3FB6F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Coral Harbour</w:t>
            </w:r>
          </w:p>
        </w:tc>
        <w:tc>
          <w:tcPr>
            <w:tcW w:w="1692" w:type="dxa"/>
            <w:tcBorders>
              <w:top w:val="none" w:sz="6" w:space="0" w:color="auto"/>
              <w:left w:val="single" w:sz="4" w:space="0" w:color="000000"/>
              <w:bottom w:val="none" w:sz="6" w:space="0" w:color="auto"/>
              <w:right w:val="single" w:sz="4" w:space="0" w:color="000000"/>
            </w:tcBorders>
          </w:tcPr>
          <w:p w14:paraId="6D5ADD25"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64,78</w:t>
            </w:r>
            <w:r w:rsidRPr="005652D3">
              <w:rPr>
                <w:rFonts w:ascii="Gadugi" w:eastAsia="Gadugi" w:hAnsi="Gadugi" w:cs="Gadugi"/>
                <w:sz w:val="18"/>
                <w:lang w:val="fr-CA" w:bidi="fr-CA"/>
              </w:rPr>
              <w:tab/>
              <w:t>105,61</w:t>
            </w:r>
          </w:p>
        </w:tc>
        <w:tc>
          <w:tcPr>
            <w:tcW w:w="1800" w:type="dxa"/>
            <w:tcBorders>
              <w:top w:val="none" w:sz="6" w:space="0" w:color="auto"/>
              <w:left w:val="single" w:sz="4" w:space="0" w:color="000000"/>
              <w:bottom w:val="none" w:sz="6" w:space="0" w:color="auto"/>
              <w:right w:val="single" w:sz="4" w:space="0" w:color="000000"/>
            </w:tcBorders>
          </w:tcPr>
          <w:p w14:paraId="51E2D64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64,43</w:t>
            </w:r>
            <w:r w:rsidRPr="005652D3">
              <w:rPr>
                <w:rFonts w:ascii="Gadugi" w:eastAsia="Gadugi" w:hAnsi="Gadugi" w:cs="Gadugi"/>
                <w:sz w:val="18"/>
                <w:lang w:val="fr-CA" w:bidi="fr-CA"/>
              </w:rPr>
              <w:tab/>
              <w:t>79,69</w:t>
            </w:r>
            <w:r w:rsidRPr="005652D3">
              <w:rPr>
                <w:rFonts w:ascii="Gadugi" w:eastAsia="Gadugi" w:hAnsi="Gadugi" w:cs="Gadugi"/>
                <w:sz w:val="18"/>
                <w:lang w:val="fr-CA" w:bidi="fr-CA"/>
              </w:rPr>
              <w:tab/>
              <w:t>104,88</w:t>
            </w:r>
          </w:p>
        </w:tc>
        <w:tc>
          <w:tcPr>
            <w:tcW w:w="529" w:type="dxa"/>
            <w:tcBorders>
              <w:top w:val="none" w:sz="6" w:space="0" w:color="auto"/>
              <w:left w:val="single" w:sz="4" w:space="0" w:color="000000"/>
              <w:bottom w:val="none" w:sz="6" w:space="0" w:color="auto"/>
              <w:right w:val="none" w:sz="6" w:space="0" w:color="auto"/>
            </w:tcBorders>
            <w:vAlign w:val="bottom"/>
          </w:tcPr>
          <w:p w14:paraId="0643CCD9"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72164CE3"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5C90992C"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32511EC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D1774F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70,90</w:t>
            </w:r>
            <w:r w:rsidRPr="005652D3">
              <w:rPr>
                <w:rFonts w:ascii="Gadugi" w:eastAsia="Gadugi" w:hAnsi="Gadugi" w:cs="Gadugi"/>
                <w:sz w:val="18"/>
                <w:lang w:val="fr-CA" w:bidi="fr-CA"/>
              </w:rPr>
              <w:tab/>
              <w:t>115,59</w:t>
            </w:r>
          </w:p>
        </w:tc>
        <w:tc>
          <w:tcPr>
            <w:tcW w:w="1871" w:type="dxa"/>
            <w:tcBorders>
              <w:top w:val="none" w:sz="6" w:space="0" w:color="auto"/>
              <w:left w:val="single" w:sz="4" w:space="0" w:color="000000"/>
              <w:bottom w:val="none" w:sz="6" w:space="0" w:color="auto"/>
              <w:right w:val="single" w:sz="4" w:space="0" w:color="000000"/>
            </w:tcBorders>
          </w:tcPr>
          <w:p w14:paraId="37EE0C8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70,51</w:t>
            </w:r>
            <w:r w:rsidRPr="005652D3">
              <w:rPr>
                <w:rFonts w:ascii="Gadugi" w:eastAsia="Gadugi" w:hAnsi="Gadugi" w:cs="Gadugi"/>
                <w:sz w:val="18"/>
                <w:lang w:val="fr-CA" w:bidi="fr-CA"/>
              </w:rPr>
              <w:tab/>
              <w:t>87,22</w:t>
            </w:r>
            <w:r w:rsidRPr="005652D3">
              <w:rPr>
                <w:rFonts w:ascii="Gadugi" w:eastAsia="Gadugi" w:hAnsi="Gadugi" w:cs="Gadugi"/>
                <w:sz w:val="18"/>
                <w:lang w:val="fr-CA" w:bidi="fr-CA"/>
              </w:rPr>
              <w:tab/>
              <w:t>114,79</w:t>
            </w:r>
          </w:p>
        </w:tc>
        <w:tc>
          <w:tcPr>
            <w:tcW w:w="591" w:type="dxa"/>
            <w:tcBorders>
              <w:top w:val="none" w:sz="6" w:space="0" w:color="auto"/>
              <w:left w:val="single" w:sz="4" w:space="0" w:color="000000"/>
              <w:bottom w:val="none" w:sz="6" w:space="0" w:color="auto"/>
              <w:right w:val="none" w:sz="6" w:space="0" w:color="auto"/>
            </w:tcBorders>
            <w:vAlign w:val="bottom"/>
          </w:tcPr>
          <w:p w14:paraId="426476AE"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2329DBE9"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17E6464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7823A47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0A69D87B"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2FD94FFA"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0DE429D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Chesterfield Inlet</w:t>
            </w:r>
          </w:p>
        </w:tc>
        <w:tc>
          <w:tcPr>
            <w:tcW w:w="1692" w:type="dxa"/>
            <w:tcBorders>
              <w:top w:val="none" w:sz="6" w:space="0" w:color="auto"/>
              <w:left w:val="single" w:sz="4" w:space="0" w:color="000000"/>
              <w:bottom w:val="none" w:sz="6" w:space="0" w:color="auto"/>
              <w:right w:val="single" w:sz="4" w:space="0" w:color="000000"/>
            </w:tcBorders>
          </w:tcPr>
          <w:p w14:paraId="0526B92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67,13</w:t>
            </w:r>
            <w:r w:rsidRPr="005652D3">
              <w:rPr>
                <w:rFonts w:ascii="Gadugi" w:eastAsia="Gadugi" w:hAnsi="Gadugi" w:cs="Gadugi"/>
                <w:sz w:val="18"/>
                <w:lang w:val="fr-CA" w:bidi="fr-CA"/>
              </w:rPr>
              <w:tab/>
              <w:t>109,50</w:t>
            </w:r>
          </w:p>
        </w:tc>
        <w:tc>
          <w:tcPr>
            <w:tcW w:w="1800" w:type="dxa"/>
            <w:tcBorders>
              <w:top w:val="none" w:sz="6" w:space="0" w:color="auto"/>
              <w:left w:val="single" w:sz="4" w:space="0" w:color="000000"/>
              <w:bottom w:val="none" w:sz="6" w:space="0" w:color="auto"/>
              <w:right w:val="single" w:sz="4" w:space="0" w:color="000000"/>
            </w:tcBorders>
          </w:tcPr>
          <w:p w14:paraId="399A2460"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66,78</w:t>
            </w:r>
            <w:r w:rsidRPr="005652D3">
              <w:rPr>
                <w:rFonts w:ascii="Gadugi" w:eastAsia="Gadugi" w:hAnsi="Gadugi" w:cs="Gadugi"/>
                <w:sz w:val="18"/>
                <w:lang w:val="fr-CA" w:bidi="fr-CA"/>
              </w:rPr>
              <w:tab/>
              <w:t>82,63</w:t>
            </w:r>
            <w:r w:rsidRPr="005652D3">
              <w:rPr>
                <w:rFonts w:ascii="Gadugi" w:eastAsia="Gadugi" w:hAnsi="Gadugi" w:cs="Gadugi"/>
                <w:sz w:val="18"/>
                <w:lang w:val="fr-CA" w:bidi="fr-CA"/>
              </w:rPr>
              <w:tab/>
              <w:t>108,77</w:t>
            </w:r>
          </w:p>
        </w:tc>
        <w:tc>
          <w:tcPr>
            <w:tcW w:w="529" w:type="dxa"/>
            <w:tcBorders>
              <w:top w:val="none" w:sz="6" w:space="0" w:color="auto"/>
              <w:left w:val="single" w:sz="4" w:space="0" w:color="000000"/>
              <w:bottom w:val="none" w:sz="6" w:space="0" w:color="auto"/>
              <w:right w:val="none" w:sz="6" w:space="0" w:color="auto"/>
            </w:tcBorders>
            <w:vAlign w:val="bottom"/>
          </w:tcPr>
          <w:p w14:paraId="69723F7A"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5EFA2BE5"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3E72E4B5" w14:textId="77777777" w:rsidR="005A14DA" w:rsidRPr="005652D3" w:rsidRDefault="005A14DA" w:rsidP="009D106A">
            <w:pPr>
              <w:widowControl/>
              <w:kinsoku w:val="0"/>
              <w:overflowPunct w:val="0"/>
              <w:adjustRightInd w:val="0"/>
              <w:spacing w:before="1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58BCB88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B00563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73,47</w:t>
            </w:r>
            <w:r w:rsidRPr="005652D3">
              <w:rPr>
                <w:rFonts w:ascii="Gadugi" w:eastAsia="Gadugi" w:hAnsi="Gadugi" w:cs="Gadugi"/>
                <w:sz w:val="18"/>
                <w:lang w:val="fr-CA" w:bidi="fr-CA"/>
              </w:rPr>
              <w:tab/>
              <w:t>119,85</w:t>
            </w:r>
          </w:p>
        </w:tc>
        <w:tc>
          <w:tcPr>
            <w:tcW w:w="1871" w:type="dxa"/>
            <w:tcBorders>
              <w:top w:val="none" w:sz="6" w:space="0" w:color="auto"/>
              <w:left w:val="single" w:sz="4" w:space="0" w:color="000000"/>
              <w:bottom w:val="none" w:sz="6" w:space="0" w:color="auto"/>
              <w:right w:val="single" w:sz="4" w:space="0" w:color="000000"/>
            </w:tcBorders>
          </w:tcPr>
          <w:p w14:paraId="36F8F5F1"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73,09</w:t>
            </w:r>
            <w:r w:rsidRPr="005652D3">
              <w:rPr>
                <w:rFonts w:ascii="Gadugi" w:eastAsia="Gadugi" w:hAnsi="Gadugi" w:cs="Gadugi"/>
                <w:sz w:val="18"/>
                <w:lang w:val="fr-CA" w:bidi="fr-CA"/>
              </w:rPr>
              <w:tab/>
              <w:t>90,44</w:t>
            </w:r>
            <w:r w:rsidRPr="005652D3">
              <w:rPr>
                <w:rFonts w:ascii="Gadugi" w:eastAsia="Gadugi" w:hAnsi="Gadugi" w:cs="Gadugi"/>
                <w:sz w:val="18"/>
                <w:lang w:val="fr-CA" w:bidi="fr-CA"/>
              </w:rPr>
              <w:tab/>
              <w:t>119,04</w:t>
            </w:r>
          </w:p>
        </w:tc>
        <w:tc>
          <w:tcPr>
            <w:tcW w:w="591" w:type="dxa"/>
            <w:tcBorders>
              <w:top w:val="none" w:sz="6" w:space="0" w:color="auto"/>
              <w:left w:val="single" w:sz="4" w:space="0" w:color="000000"/>
              <w:bottom w:val="none" w:sz="6" w:space="0" w:color="auto"/>
              <w:right w:val="none" w:sz="6" w:space="0" w:color="auto"/>
            </w:tcBorders>
            <w:vAlign w:val="bottom"/>
          </w:tcPr>
          <w:p w14:paraId="07FFF698"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01A3E91C"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08327A04"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137FB0B1"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4AA2EFC"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0DD156B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3EDE048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Whale Cove</w:t>
            </w:r>
          </w:p>
        </w:tc>
        <w:tc>
          <w:tcPr>
            <w:tcW w:w="1692" w:type="dxa"/>
            <w:tcBorders>
              <w:top w:val="none" w:sz="6" w:space="0" w:color="auto"/>
              <w:left w:val="single" w:sz="4" w:space="0" w:color="000000"/>
              <w:bottom w:val="none" w:sz="6" w:space="0" w:color="auto"/>
              <w:right w:val="single" w:sz="4" w:space="0" w:color="000000"/>
            </w:tcBorders>
          </w:tcPr>
          <w:p w14:paraId="66604A94"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73,69</w:t>
            </w:r>
            <w:r w:rsidRPr="005652D3">
              <w:rPr>
                <w:rFonts w:ascii="Gadugi" w:eastAsia="Gadugi" w:hAnsi="Gadugi" w:cs="Gadugi"/>
                <w:sz w:val="18"/>
                <w:lang w:val="fr-CA" w:bidi="fr-CA"/>
              </w:rPr>
              <w:tab/>
              <w:t>120,20</w:t>
            </w:r>
          </w:p>
        </w:tc>
        <w:tc>
          <w:tcPr>
            <w:tcW w:w="1800" w:type="dxa"/>
            <w:tcBorders>
              <w:top w:val="none" w:sz="6" w:space="0" w:color="auto"/>
              <w:left w:val="single" w:sz="4" w:space="0" w:color="000000"/>
              <w:bottom w:val="none" w:sz="6" w:space="0" w:color="auto"/>
              <w:right w:val="single" w:sz="4" w:space="0" w:color="000000"/>
            </w:tcBorders>
          </w:tcPr>
          <w:p w14:paraId="1719F34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73,34</w:t>
            </w:r>
            <w:r w:rsidRPr="005652D3">
              <w:rPr>
                <w:rFonts w:ascii="Gadugi" w:eastAsia="Gadugi" w:hAnsi="Gadugi" w:cs="Gadugi"/>
                <w:sz w:val="18"/>
                <w:lang w:val="fr-CA" w:bidi="fr-CA"/>
              </w:rPr>
              <w:tab/>
              <w:t>90,72</w:t>
            </w:r>
            <w:r w:rsidRPr="005652D3">
              <w:rPr>
                <w:rFonts w:ascii="Gadugi" w:eastAsia="Gadugi" w:hAnsi="Gadugi" w:cs="Gadugi"/>
                <w:sz w:val="18"/>
                <w:lang w:val="fr-CA" w:bidi="fr-CA"/>
              </w:rPr>
              <w:tab/>
              <w:t>119,46</w:t>
            </w:r>
          </w:p>
        </w:tc>
        <w:tc>
          <w:tcPr>
            <w:tcW w:w="529" w:type="dxa"/>
            <w:tcBorders>
              <w:top w:val="none" w:sz="6" w:space="0" w:color="auto"/>
              <w:left w:val="single" w:sz="4" w:space="0" w:color="000000"/>
              <w:bottom w:val="none" w:sz="6" w:space="0" w:color="auto"/>
              <w:right w:val="none" w:sz="6" w:space="0" w:color="auto"/>
            </w:tcBorders>
            <w:vAlign w:val="bottom"/>
          </w:tcPr>
          <w:p w14:paraId="5996804C"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7DC4C27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00654DCA"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4965E9E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5CBA44D"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80,65</w:t>
            </w:r>
            <w:r w:rsidRPr="005652D3">
              <w:rPr>
                <w:rFonts w:ascii="Gadugi" w:eastAsia="Gadugi" w:hAnsi="Gadugi" w:cs="Gadugi"/>
                <w:sz w:val="18"/>
                <w:lang w:val="fr-CA" w:bidi="fr-CA"/>
              </w:rPr>
              <w:tab/>
              <w:t>131,55</w:t>
            </w:r>
          </w:p>
        </w:tc>
        <w:tc>
          <w:tcPr>
            <w:tcW w:w="1871" w:type="dxa"/>
            <w:tcBorders>
              <w:top w:val="none" w:sz="6" w:space="0" w:color="auto"/>
              <w:left w:val="single" w:sz="4" w:space="0" w:color="000000"/>
              <w:bottom w:val="none" w:sz="6" w:space="0" w:color="auto"/>
              <w:right w:val="single" w:sz="4" w:space="0" w:color="000000"/>
            </w:tcBorders>
          </w:tcPr>
          <w:p w14:paraId="506B149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80,27</w:t>
            </w:r>
            <w:r w:rsidRPr="005652D3">
              <w:rPr>
                <w:rFonts w:ascii="Gadugi" w:eastAsia="Gadugi" w:hAnsi="Gadugi" w:cs="Gadugi"/>
                <w:sz w:val="18"/>
                <w:lang w:val="fr-CA" w:bidi="fr-CA"/>
              </w:rPr>
              <w:tab/>
              <w:t>99,29</w:t>
            </w:r>
            <w:r w:rsidRPr="005652D3">
              <w:rPr>
                <w:rFonts w:ascii="Gadugi" w:eastAsia="Gadugi" w:hAnsi="Gadugi" w:cs="Gadugi"/>
                <w:sz w:val="18"/>
                <w:lang w:val="fr-CA" w:bidi="fr-CA"/>
              </w:rPr>
              <w:tab/>
              <w:t>130,74</w:t>
            </w:r>
          </w:p>
        </w:tc>
        <w:tc>
          <w:tcPr>
            <w:tcW w:w="591" w:type="dxa"/>
            <w:tcBorders>
              <w:top w:val="none" w:sz="6" w:space="0" w:color="auto"/>
              <w:left w:val="single" w:sz="4" w:space="0" w:color="000000"/>
              <w:bottom w:val="none" w:sz="6" w:space="0" w:color="auto"/>
              <w:right w:val="none" w:sz="6" w:space="0" w:color="auto"/>
            </w:tcBorders>
            <w:vAlign w:val="bottom"/>
          </w:tcPr>
          <w:p w14:paraId="3701869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50948533"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6CC6E086"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24A05D3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7247CB7"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7D385E80" w14:textId="77777777" w:rsidTr="00232F8D">
        <w:trPr>
          <w:trHeight w:val="251"/>
        </w:trPr>
        <w:tc>
          <w:tcPr>
            <w:tcW w:w="1253" w:type="dxa"/>
            <w:tcBorders>
              <w:top w:val="none" w:sz="6" w:space="0" w:color="auto"/>
              <w:left w:val="single" w:sz="4" w:space="0" w:color="000000"/>
              <w:bottom w:val="none" w:sz="6" w:space="0" w:color="auto"/>
              <w:right w:val="single" w:sz="4" w:space="0" w:color="000000"/>
            </w:tcBorders>
          </w:tcPr>
          <w:p w14:paraId="32F97DD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Naujaat</w:t>
            </w:r>
          </w:p>
        </w:tc>
        <w:tc>
          <w:tcPr>
            <w:tcW w:w="1692" w:type="dxa"/>
            <w:tcBorders>
              <w:top w:val="none" w:sz="6" w:space="0" w:color="auto"/>
              <w:left w:val="single" w:sz="4" w:space="0" w:color="000000"/>
              <w:bottom w:val="none" w:sz="6" w:space="0" w:color="auto"/>
              <w:right w:val="single" w:sz="4" w:space="0" w:color="000000"/>
            </w:tcBorders>
          </w:tcPr>
          <w:p w14:paraId="285D20CF"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55,95</w:t>
            </w:r>
            <w:r w:rsidRPr="005652D3">
              <w:rPr>
                <w:rFonts w:ascii="Gadugi" w:eastAsia="Gadugi" w:hAnsi="Gadugi" w:cs="Gadugi"/>
                <w:sz w:val="18"/>
                <w:lang w:val="fr-CA" w:bidi="fr-CA"/>
              </w:rPr>
              <w:tab/>
              <w:t>91,18</w:t>
            </w:r>
          </w:p>
        </w:tc>
        <w:tc>
          <w:tcPr>
            <w:tcW w:w="1800" w:type="dxa"/>
            <w:tcBorders>
              <w:top w:val="none" w:sz="6" w:space="0" w:color="auto"/>
              <w:left w:val="single" w:sz="4" w:space="0" w:color="000000"/>
              <w:bottom w:val="none" w:sz="6" w:space="0" w:color="auto"/>
              <w:right w:val="single" w:sz="4" w:space="0" w:color="000000"/>
            </w:tcBorders>
          </w:tcPr>
          <w:p w14:paraId="17C0632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55,61</w:t>
            </w:r>
            <w:r w:rsidRPr="005652D3">
              <w:rPr>
                <w:rFonts w:ascii="Gadugi" w:eastAsia="Gadugi" w:hAnsi="Gadugi" w:cs="Gadugi"/>
                <w:sz w:val="18"/>
                <w:lang w:val="fr-CA" w:bidi="fr-CA"/>
              </w:rPr>
              <w:tab/>
              <w:t>68,75</w:t>
            </w:r>
            <w:r w:rsidRPr="005652D3">
              <w:rPr>
                <w:rFonts w:ascii="Gadugi" w:eastAsia="Gadugi" w:hAnsi="Gadugi" w:cs="Gadugi"/>
                <w:sz w:val="18"/>
                <w:lang w:val="fr-CA" w:bidi="fr-CA"/>
              </w:rPr>
              <w:tab/>
              <w:t>90,44</w:t>
            </w:r>
          </w:p>
        </w:tc>
        <w:tc>
          <w:tcPr>
            <w:tcW w:w="529" w:type="dxa"/>
            <w:tcBorders>
              <w:top w:val="none" w:sz="6" w:space="0" w:color="auto"/>
              <w:left w:val="single" w:sz="4" w:space="0" w:color="000000"/>
              <w:bottom w:val="none" w:sz="6" w:space="0" w:color="auto"/>
              <w:right w:val="none" w:sz="6" w:space="0" w:color="auto"/>
            </w:tcBorders>
            <w:vAlign w:val="bottom"/>
          </w:tcPr>
          <w:p w14:paraId="4AA9246A"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55E6CE6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1288FB5F"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2C20169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60FB011"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61,24</w:t>
            </w:r>
            <w:r w:rsidRPr="005652D3">
              <w:rPr>
                <w:rFonts w:ascii="Gadugi" w:eastAsia="Gadugi" w:hAnsi="Gadugi" w:cs="Gadugi"/>
                <w:sz w:val="18"/>
                <w:lang w:val="fr-CA" w:bidi="fr-CA"/>
              </w:rPr>
              <w:tab/>
              <w:t>99,79</w:t>
            </w:r>
          </w:p>
        </w:tc>
        <w:tc>
          <w:tcPr>
            <w:tcW w:w="1871" w:type="dxa"/>
            <w:tcBorders>
              <w:top w:val="none" w:sz="6" w:space="0" w:color="auto"/>
              <w:left w:val="single" w:sz="4" w:space="0" w:color="000000"/>
              <w:bottom w:val="none" w:sz="6" w:space="0" w:color="auto"/>
              <w:right w:val="single" w:sz="4" w:space="0" w:color="000000"/>
            </w:tcBorders>
          </w:tcPr>
          <w:p w14:paraId="02E256C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60,86</w:t>
            </w:r>
            <w:r w:rsidRPr="005652D3">
              <w:rPr>
                <w:rFonts w:ascii="Gadugi" w:eastAsia="Gadugi" w:hAnsi="Gadugi" w:cs="Gadugi"/>
                <w:sz w:val="18"/>
                <w:lang w:val="fr-CA" w:bidi="fr-CA"/>
              </w:rPr>
              <w:tab/>
              <w:t>75,24</w:t>
            </w:r>
            <w:r w:rsidRPr="005652D3">
              <w:rPr>
                <w:rFonts w:ascii="Gadugi" w:eastAsia="Gadugi" w:hAnsi="Gadugi" w:cs="Gadugi"/>
                <w:sz w:val="18"/>
                <w:lang w:val="fr-CA" w:bidi="fr-CA"/>
              </w:rPr>
              <w:tab/>
              <w:t>98,98</w:t>
            </w:r>
          </w:p>
        </w:tc>
        <w:tc>
          <w:tcPr>
            <w:tcW w:w="591" w:type="dxa"/>
            <w:tcBorders>
              <w:top w:val="none" w:sz="6" w:space="0" w:color="auto"/>
              <w:left w:val="single" w:sz="4" w:space="0" w:color="000000"/>
              <w:bottom w:val="none" w:sz="6" w:space="0" w:color="auto"/>
              <w:right w:val="none" w:sz="6" w:space="0" w:color="auto"/>
            </w:tcBorders>
            <w:vAlign w:val="bottom"/>
          </w:tcPr>
          <w:p w14:paraId="402767D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42C72CEC"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6E1342B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73F305F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D382035"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6640839C"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68E5F1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Iqaluit</w:t>
            </w:r>
          </w:p>
        </w:tc>
        <w:tc>
          <w:tcPr>
            <w:tcW w:w="1692" w:type="dxa"/>
            <w:tcBorders>
              <w:top w:val="none" w:sz="6" w:space="0" w:color="auto"/>
              <w:left w:val="single" w:sz="4" w:space="0" w:color="000000"/>
              <w:bottom w:val="none" w:sz="6" w:space="0" w:color="auto"/>
              <w:right w:val="single" w:sz="4" w:space="0" w:color="000000"/>
            </w:tcBorders>
          </w:tcPr>
          <w:p w14:paraId="4EE3DD3C"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38,80</w:t>
            </w:r>
            <w:r w:rsidRPr="005652D3">
              <w:rPr>
                <w:rFonts w:ascii="Gadugi" w:eastAsia="Gadugi" w:hAnsi="Gadugi" w:cs="Gadugi"/>
                <w:sz w:val="18"/>
                <w:lang w:val="fr-CA" w:bidi="fr-CA"/>
              </w:rPr>
              <w:tab/>
              <w:t>63,13</w:t>
            </w:r>
          </w:p>
        </w:tc>
        <w:tc>
          <w:tcPr>
            <w:tcW w:w="1800" w:type="dxa"/>
            <w:tcBorders>
              <w:top w:val="none" w:sz="6" w:space="0" w:color="auto"/>
              <w:left w:val="single" w:sz="4" w:space="0" w:color="000000"/>
              <w:bottom w:val="none" w:sz="6" w:space="0" w:color="auto"/>
              <w:right w:val="single" w:sz="4" w:space="0" w:color="000000"/>
            </w:tcBorders>
          </w:tcPr>
          <w:p w14:paraId="16AB30D3"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3846</w:t>
            </w:r>
            <w:r w:rsidRPr="005652D3">
              <w:rPr>
                <w:rFonts w:ascii="Gadugi" w:eastAsia="Gadugi" w:hAnsi="Gadugi" w:cs="Gadugi"/>
                <w:sz w:val="18"/>
                <w:lang w:val="fr-CA" w:bidi="fr-CA"/>
              </w:rPr>
              <w:tab/>
              <w:t>47,52</w:t>
            </w:r>
            <w:r w:rsidRPr="005652D3">
              <w:rPr>
                <w:rFonts w:ascii="Gadugi" w:eastAsia="Gadugi" w:hAnsi="Gadugi" w:cs="Gadugi"/>
                <w:sz w:val="18"/>
                <w:lang w:val="fr-CA" w:bidi="fr-CA"/>
              </w:rPr>
              <w:tab/>
              <w:t>62,39</w:t>
            </w:r>
          </w:p>
        </w:tc>
        <w:tc>
          <w:tcPr>
            <w:tcW w:w="529" w:type="dxa"/>
            <w:tcBorders>
              <w:top w:val="none" w:sz="6" w:space="0" w:color="auto"/>
              <w:left w:val="single" w:sz="4" w:space="0" w:color="000000"/>
              <w:bottom w:val="none" w:sz="6" w:space="0" w:color="auto"/>
              <w:right w:val="none" w:sz="6" w:space="0" w:color="auto"/>
            </w:tcBorders>
            <w:vAlign w:val="bottom"/>
          </w:tcPr>
          <w:p w14:paraId="407CC2F4"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0D4FDC3E"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4BC0E295"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41C1407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DD353B3"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42,47</w:t>
            </w:r>
            <w:r w:rsidRPr="005652D3">
              <w:rPr>
                <w:rFonts w:ascii="Gadugi" w:eastAsia="Gadugi" w:hAnsi="Gadugi" w:cs="Gadugi"/>
                <w:sz w:val="18"/>
                <w:lang w:val="fr-CA" w:bidi="fr-CA"/>
              </w:rPr>
              <w:tab/>
              <w:t>69,09</w:t>
            </w:r>
          </w:p>
        </w:tc>
        <w:tc>
          <w:tcPr>
            <w:tcW w:w="1871" w:type="dxa"/>
            <w:tcBorders>
              <w:top w:val="none" w:sz="6" w:space="0" w:color="auto"/>
              <w:left w:val="single" w:sz="4" w:space="0" w:color="000000"/>
              <w:bottom w:val="none" w:sz="6" w:space="0" w:color="auto"/>
              <w:right w:val="single" w:sz="4" w:space="0" w:color="000000"/>
            </w:tcBorders>
          </w:tcPr>
          <w:p w14:paraId="1F3EC98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42,09</w:t>
            </w:r>
            <w:r w:rsidRPr="005652D3">
              <w:rPr>
                <w:rFonts w:ascii="Gadugi" w:eastAsia="Gadugi" w:hAnsi="Gadugi" w:cs="Gadugi"/>
                <w:sz w:val="18"/>
                <w:lang w:val="fr-CA" w:bidi="fr-CA"/>
              </w:rPr>
              <w:tab/>
              <w:t>52,01</w:t>
            </w:r>
            <w:r w:rsidRPr="005652D3">
              <w:rPr>
                <w:rFonts w:ascii="Gadugi" w:eastAsia="Gadugi" w:hAnsi="Gadugi" w:cs="Gadugi"/>
                <w:sz w:val="18"/>
                <w:lang w:val="fr-CA" w:bidi="fr-CA"/>
              </w:rPr>
              <w:tab/>
              <w:t>68,29</w:t>
            </w:r>
          </w:p>
        </w:tc>
        <w:tc>
          <w:tcPr>
            <w:tcW w:w="591" w:type="dxa"/>
            <w:tcBorders>
              <w:top w:val="none" w:sz="6" w:space="0" w:color="auto"/>
              <w:left w:val="single" w:sz="4" w:space="0" w:color="000000"/>
              <w:bottom w:val="none" w:sz="6" w:space="0" w:color="auto"/>
              <w:right w:val="none" w:sz="6" w:space="0" w:color="auto"/>
            </w:tcBorders>
            <w:vAlign w:val="bottom"/>
          </w:tcPr>
          <w:p w14:paraId="46C60F2B"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3740B745"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48C392F4"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11E9800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5E11070"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2FCD57E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405D93A"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Pangnirtung</w:t>
            </w:r>
          </w:p>
        </w:tc>
        <w:tc>
          <w:tcPr>
            <w:tcW w:w="1692" w:type="dxa"/>
            <w:tcBorders>
              <w:top w:val="none" w:sz="6" w:space="0" w:color="auto"/>
              <w:left w:val="single" w:sz="4" w:space="0" w:color="000000"/>
              <w:bottom w:val="none" w:sz="6" w:space="0" w:color="auto"/>
              <w:right w:val="single" w:sz="4" w:space="0" w:color="000000"/>
            </w:tcBorders>
          </w:tcPr>
          <w:p w14:paraId="7F6B72F0"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36,60</w:t>
            </w:r>
            <w:r w:rsidRPr="005652D3">
              <w:rPr>
                <w:rFonts w:ascii="Gadugi" w:eastAsia="Gadugi" w:hAnsi="Gadugi" w:cs="Gadugi"/>
                <w:sz w:val="18"/>
                <w:lang w:val="fr-CA" w:bidi="fr-CA"/>
              </w:rPr>
              <w:tab/>
              <w:t>59,50</w:t>
            </w:r>
          </w:p>
        </w:tc>
        <w:tc>
          <w:tcPr>
            <w:tcW w:w="1800" w:type="dxa"/>
            <w:tcBorders>
              <w:top w:val="none" w:sz="6" w:space="0" w:color="auto"/>
              <w:left w:val="single" w:sz="4" w:space="0" w:color="000000"/>
              <w:bottom w:val="none" w:sz="6" w:space="0" w:color="auto"/>
              <w:right w:val="single" w:sz="4" w:space="0" w:color="000000"/>
            </w:tcBorders>
          </w:tcPr>
          <w:p w14:paraId="58255E77"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36,25</w:t>
            </w:r>
            <w:r w:rsidRPr="005652D3">
              <w:rPr>
                <w:rFonts w:ascii="Gadugi" w:eastAsia="Gadugi" w:hAnsi="Gadugi" w:cs="Gadugi"/>
                <w:sz w:val="18"/>
                <w:lang w:val="fr-CA" w:bidi="fr-CA"/>
              </w:rPr>
              <w:tab/>
              <w:t>44,79</w:t>
            </w:r>
            <w:r w:rsidRPr="005652D3">
              <w:rPr>
                <w:rFonts w:ascii="Gadugi" w:eastAsia="Gadugi" w:hAnsi="Gadugi" w:cs="Gadugi"/>
                <w:sz w:val="18"/>
                <w:lang w:val="fr-CA" w:bidi="fr-CA"/>
              </w:rPr>
              <w:tab/>
              <w:t>58,77</w:t>
            </w:r>
          </w:p>
        </w:tc>
        <w:tc>
          <w:tcPr>
            <w:tcW w:w="529" w:type="dxa"/>
            <w:tcBorders>
              <w:top w:val="none" w:sz="6" w:space="0" w:color="auto"/>
              <w:left w:val="single" w:sz="4" w:space="0" w:color="000000"/>
              <w:bottom w:val="none" w:sz="6" w:space="0" w:color="auto"/>
              <w:right w:val="none" w:sz="6" w:space="0" w:color="auto"/>
            </w:tcBorders>
            <w:vAlign w:val="bottom"/>
          </w:tcPr>
          <w:p w14:paraId="2CA5F00C"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74F6B6A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37CA0AA5"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5D073E0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9E33D19"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40,05</w:t>
            </w:r>
            <w:r w:rsidRPr="005652D3">
              <w:rPr>
                <w:rFonts w:ascii="Gadugi" w:eastAsia="Gadugi" w:hAnsi="Gadugi" w:cs="Gadugi"/>
                <w:sz w:val="18"/>
                <w:lang w:val="fr-CA" w:bidi="fr-CA"/>
              </w:rPr>
              <w:tab/>
              <w:t>65,13</w:t>
            </w:r>
          </w:p>
        </w:tc>
        <w:tc>
          <w:tcPr>
            <w:tcW w:w="1871" w:type="dxa"/>
            <w:tcBorders>
              <w:top w:val="none" w:sz="6" w:space="0" w:color="auto"/>
              <w:left w:val="single" w:sz="4" w:space="0" w:color="000000"/>
              <w:bottom w:val="none" w:sz="6" w:space="0" w:color="auto"/>
              <w:right w:val="single" w:sz="4" w:space="0" w:color="000000"/>
            </w:tcBorders>
          </w:tcPr>
          <w:p w14:paraId="1DABEEE1"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39,67</w:t>
            </w:r>
            <w:r w:rsidRPr="005652D3">
              <w:rPr>
                <w:rFonts w:ascii="Gadugi" w:eastAsia="Gadugi" w:hAnsi="Gadugi" w:cs="Gadugi"/>
                <w:sz w:val="18"/>
                <w:lang w:val="fr-CA" w:bidi="fr-CA"/>
              </w:rPr>
              <w:tab/>
              <w:t>49,03</w:t>
            </w:r>
            <w:r w:rsidRPr="005652D3">
              <w:rPr>
                <w:rFonts w:ascii="Gadugi" w:eastAsia="Gadugi" w:hAnsi="Gadugi" w:cs="Gadugi"/>
                <w:sz w:val="18"/>
                <w:lang w:val="fr-CA" w:bidi="fr-CA"/>
              </w:rPr>
              <w:tab/>
              <w:t>64,32</w:t>
            </w:r>
          </w:p>
        </w:tc>
        <w:tc>
          <w:tcPr>
            <w:tcW w:w="591" w:type="dxa"/>
            <w:tcBorders>
              <w:top w:val="none" w:sz="6" w:space="0" w:color="auto"/>
              <w:left w:val="single" w:sz="4" w:space="0" w:color="000000"/>
              <w:bottom w:val="none" w:sz="6" w:space="0" w:color="auto"/>
              <w:right w:val="none" w:sz="6" w:space="0" w:color="auto"/>
            </w:tcBorders>
            <w:vAlign w:val="bottom"/>
          </w:tcPr>
          <w:p w14:paraId="67F7FEE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2FFA1971"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28AEC8C3"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5458A9F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87D73B8"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7EA3684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3B0F3C7"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Kinngait</w:t>
            </w:r>
          </w:p>
        </w:tc>
        <w:tc>
          <w:tcPr>
            <w:tcW w:w="1692" w:type="dxa"/>
            <w:tcBorders>
              <w:top w:val="none" w:sz="6" w:space="0" w:color="auto"/>
              <w:left w:val="single" w:sz="4" w:space="0" w:color="000000"/>
              <w:bottom w:val="none" w:sz="6" w:space="0" w:color="auto"/>
              <w:right w:val="single" w:sz="4" w:space="0" w:color="000000"/>
            </w:tcBorders>
          </w:tcPr>
          <w:p w14:paraId="66851D7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48,17</w:t>
            </w:r>
            <w:r w:rsidRPr="005652D3">
              <w:rPr>
                <w:rFonts w:ascii="Gadugi" w:eastAsia="Gadugi" w:hAnsi="Gadugi" w:cs="Gadugi"/>
                <w:sz w:val="18"/>
                <w:lang w:val="fr-CA" w:bidi="fr-CA"/>
              </w:rPr>
              <w:tab/>
              <w:t>78,38</w:t>
            </w:r>
          </w:p>
        </w:tc>
        <w:tc>
          <w:tcPr>
            <w:tcW w:w="1800" w:type="dxa"/>
            <w:tcBorders>
              <w:top w:val="none" w:sz="6" w:space="0" w:color="auto"/>
              <w:left w:val="single" w:sz="4" w:space="0" w:color="000000"/>
              <w:bottom w:val="none" w:sz="6" w:space="0" w:color="auto"/>
              <w:right w:val="single" w:sz="4" w:space="0" w:color="000000"/>
            </w:tcBorders>
          </w:tcPr>
          <w:p w14:paraId="1BC847F5" w14:textId="069EC201"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47,82</w:t>
            </w:r>
            <w:r w:rsidRPr="005652D3">
              <w:rPr>
                <w:rFonts w:ascii="Gadugi" w:eastAsia="Gadugi" w:hAnsi="Gadugi" w:cs="Gadugi"/>
                <w:sz w:val="18"/>
                <w:lang w:val="fr-CA" w:bidi="fr-CA"/>
              </w:rPr>
              <w:tab/>
              <w:t>59,10</w:t>
            </w:r>
            <w:r w:rsidRPr="005652D3">
              <w:rPr>
                <w:rFonts w:ascii="Gadugi" w:eastAsia="Gadugi" w:hAnsi="Gadugi" w:cs="Gadugi"/>
                <w:sz w:val="18"/>
                <w:lang w:val="fr-CA" w:bidi="fr-CA"/>
              </w:rPr>
              <w:tab/>
              <w:t>77,65</w:t>
            </w:r>
          </w:p>
        </w:tc>
        <w:tc>
          <w:tcPr>
            <w:tcW w:w="529" w:type="dxa"/>
            <w:tcBorders>
              <w:top w:val="none" w:sz="6" w:space="0" w:color="auto"/>
              <w:left w:val="single" w:sz="4" w:space="0" w:color="000000"/>
              <w:bottom w:val="none" w:sz="6" w:space="0" w:color="auto"/>
              <w:right w:val="none" w:sz="6" w:space="0" w:color="auto"/>
            </w:tcBorders>
            <w:vAlign w:val="bottom"/>
          </w:tcPr>
          <w:p w14:paraId="6D7D40CB"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792B8DD3"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16ECCF04"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15CE8D92"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3019C799"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52,72</w:t>
            </w:r>
            <w:r w:rsidRPr="005652D3">
              <w:rPr>
                <w:rFonts w:ascii="Gadugi" w:eastAsia="Gadugi" w:hAnsi="Gadugi" w:cs="Gadugi"/>
                <w:sz w:val="18"/>
                <w:lang w:val="fr-CA" w:bidi="fr-CA"/>
              </w:rPr>
              <w:tab/>
              <w:t>85,79</w:t>
            </w:r>
          </w:p>
        </w:tc>
        <w:tc>
          <w:tcPr>
            <w:tcW w:w="1871" w:type="dxa"/>
            <w:tcBorders>
              <w:top w:val="none" w:sz="6" w:space="0" w:color="auto"/>
              <w:left w:val="single" w:sz="4" w:space="0" w:color="000000"/>
              <w:bottom w:val="none" w:sz="6" w:space="0" w:color="auto"/>
              <w:right w:val="single" w:sz="4" w:space="0" w:color="000000"/>
            </w:tcBorders>
          </w:tcPr>
          <w:p w14:paraId="680AFCD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52,33</w:t>
            </w:r>
            <w:r w:rsidRPr="005652D3">
              <w:rPr>
                <w:rFonts w:ascii="Gadugi" w:eastAsia="Gadugi" w:hAnsi="Gadugi" w:cs="Gadugi"/>
                <w:sz w:val="18"/>
                <w:lang w:val="fr-CA" w:bidi="fr-CA"/>
              </w:rPr>
              <w:tab/>
              <w:t>64,68</w:t>
            </w:r>
            <w:r w:rsidRPr="005652D3">
              <w:rPr>
                <w:rFonts w:ascii="Gadugi" w:eastAsia="Gadugi" w:hAnsi="Gadugi" w:cs="Gadugi"/>
                <w:sz w:val="18"/>
                <w:lang w:val="fr-CA" w:bidi="fr-CA"/>
              </w:rPr>
              <w:tab/>
              <w:t>84,98</w:t>
            </w:r>
          </w:p>
        </w:tc>
        <w:tc>
          <w:tcPr>
            <w:tcW w:w="591" w:type="dxa"/>
            <w:tcBorders>
              <w:top w:val="none" w:sz="6" w:space="0" w:color="auto"/>
              <w:left w:val="single" w:sz="4" w:space="0" w:color="000000"/>
              <w:bottom w:val="none" w:sz="6" w:space="0" w:color="auto"/>
              <w:right w:val="none" w:sz="6" w:space="0" w:color="auto"/>
            </w:tcBorders>
            <w:vAlign w:val="bottom"/>
          </w:tcPr>
          <w:p w14:paraId="0892B028"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7E7C9F2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0DF2BD5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3455829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F800DEF"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444D8A86"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DE57A69"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Resolute Bay</w:t>
            </w:r>
          </w:p>
        </w:tc>
        <w:tc>
          <w:tcPr>
            <w:tcW w:w="1692" w:type="dxa"/>
            <w:tcBorders>
              <w:top w:val="none" w:sz="6" w:space="0" w:color="auto"/>
              <w:left w:val="single" w:sz="4" w:space="0" w:color="000000"/>
              <w:bottom w:val="none" w:sz="6" w:space="0" w:color="auto"/>
              <w:right w:val="single" w:sz="4" w:space="0" w:color="000000"/>
            </w:tcBorders>
          </w:tcPr>
          <w:p w14:paraId="4795F492"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95,01</w:t>
            </w:r>
            <w:r w:rsidRPr="005652D3">
              <w:rPr>
                <w:rFonts w:ascii="Gadugi" w:eastAsia="Gadugi" w:hAnsi="Gadugi" w:cs="Gadugi"/>
                <w:sz w:val="18"/>
                <w:lang w:val="fr-CA" w:bidi="fr-CA"/>
              </w:rPr>
              <w:tab/>
              <w:t>155,07</w:t>
            </w:r>
          </w:p>
        </w:tc>
        <w:tc>
          <w:tcPr>
            <w:tcW w:w="1800" w:type="dxa"/>
            <w:tcBorders>
              <w:top w:val="none" w:sz="6" w:space="0" w:color="auto"/>
              <w:left w:val="single" w:sz="4" w:space="0" w:color="000000"/>
              <w:bottom w:val="none" w:sz="6" w:space="0" w:color="auto"/>
              <w:right w:val="single" w:sz="4" w:space="0" w:color="000000"/>
            </w:tcBorders>
          </w:tcPr>
          <w:p w14:paraId="5ED46A7E"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94,66</w:t>
            </w:r>
            <w:r w:rsidRPr="005652D3">
              <w:rPr>
                <w:rFonts w:ascii="Gadugi" w:eastAsia="Gadugi" w:hAnsi="Gadugi" w:cs="Gadugi"/>
                <w:sz w:val="18"/>
                <w:lang w:val="fr-CA" w:bidi="fr-CA"/>
              </w:rPr>
              <w:tab/>
              <w:t>117,14</w:t>
            </w:r>
            <w:r w:rsidRPr="005652D3">
              <w:rPr>
                <w:rFonts w:ascii="Gadugi" w:eastAsia="Gadugi" w:hAnsi="Gadugi" w:cs="Gadugi"/>
                <w:sz w:val="18"/>
                <w:lang w:val="fr-CA" w:bidi="fr-CA"/>
              </w:rPr>
              <w:tab/>
              <w:t>154,33</w:t>
            </w:r>
          </w:p>
        </w:tc>
        <w:tc>
          <w:tcPr>
            <w:tcW w:w="529" w:type="dxa"/>
            <w:tcBorders>
              <w:top w:val="none" w:sz="6" w:space="0" w:color="auto"/>
              <w:left w:val="single" w:sz="4" w:space="0" w:color="000000"/>
              <w:bottom w:val="none" w:sz="6" w:space="0" w:color="auto"/>
              <w:right w:val="none" w:sz="6" w:space="0" w:color="auto"/>
            </w:tcBorders>
            <w:vAlign w:val="bottom"/>
          </w:tcPr>
          <w:p w14:paraId="16063B5E"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0820459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591A6D6C"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65E4B19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117D89CF"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103,98</w:t>
            </w:r>
            <w:r w:rsidRPr="005652D3">
              <w:rPr>
                <w:rFonts w:ascii="Gadugi" w:eastAsia="Gadugi" w:hAnsi="Gadugi" w:cs="Gadugi"/>
                <w:sz w:val="18"/>
                <w:lang w:val="fr-CA" w:bidi="fr-CA"/>
              </w:rPr>
              <w:tab/>
              <w:t>169,72</w:t>
            </w:r>
          </w:p>
        </w:tc>
        <w:tc>
          <w:tcPr>
            <w:tcW w:w="1871" w:type="dxa"/>
            <w:tcBorders>
              <w:top w:val="none" w:sz="6" w:space="0" w:color="auto"/>
              <w:left w:val="single" w:sz="4" w:space="0" w:color="000000"/>
              <w:bottom w:val="none" w:sz="6" w:space="0" w:color="auto"/>
              <w:right w:val="single" w:sz="4" w:space="0" w:color="000000"/>
            </w:tcBorders>
          </w:tcPr>
          <w:p w14:paraId="181C7429"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103,60</w:t>
            </w:r>
            <w:r w:rsidRPr="005652D3">
              <w:rPr>
                <w:rFonts w:ascii="Gadugi" w:eastAsia="Gadugi" w:hAnsi="Gadugi" w:cs="Gadugi"/>
                <w:sz w:val="18"/>
                <w:lang w:val="fr-CA" w:bidi="fr-CA"/>
              </w:rPr>
              <w:tab/>
              <w:t>128,20</w:t>
            </w:r>
            <w:r w:rsidRPr="005652D3">
              <w:rPr>
                <w:rFonts w:ascii="Gadugi" w:eastAsia="Gadugi" w:hAnsi="Gadugi" w:cs="Gadugi"/>
                <w:sz w:val="18"/>
                <w:lang w:val="fr-CA" w:bidi="fr-CA"/>
              </w:rPr>
              <w:tab/>
              <w:t>168,92</w:t>
            </w:r>
          </w:p>
        </w:tc>
        <w:tc>
          <w:tcPr>
            <w:tcW w:w="591" w:type="dxa"/>
            <w:tcBorders>
              <w:top w:val="none" w:sz="6" w:space="0" w:color="auto"/>
              <w:left w:val="single" w:sz="4" w:space="0" w:color="000000"/>
              <w:bottom w:val="none" w:sz="6" w:space="0" w:color="auto"/>
              <w:right w:val="none" w:sz="6" w:space="0" w:color="auto"/>
            </w:tcBorders>
            <w:vAlign w:val="bottom"/>
          </w:tcPr>
          <w:p w14:paraId="16A117F2" w14:textId="77777777" w:rsidR="005A14DA" w:rsidRPr="005652D3" w:rsidRDefault="005A14DA" w:rsidP="00980C4E">
            <w:pPr>
              <w:widowControl/>
              <w:kinsoku w:val="0"/>
              <w:overflowPunct w:val="0"/>
              <w:adjustRightInd w:val="0"/>
              <w:ind w:right="10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3D206A9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1FA60E3B"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407CAC1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09E2290D"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44A5CEC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DC8165C"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Pond Inlet</w:t>
            </w:r>
          </w:p>
        </w:tc>
        <w:tc>
          <w:tcPr>
            <w:tcW w:w="1692" w:type="dxa"/>
            <w:tcBorders>
              <w:top w:val="none" w:sz="6" w:space="0" w:color="auto"/>
              <w:left w:val="single" w:sz="4" w:space="0" w:color="000000"/>
              <w:bottom w:val="none" w:sz="6" w:space="0" w:color="auto"/>
              <w:right w:val="single" w:sz="4" w:space="0" w:color="000000"/>
            </w:tcBorders>
          </w:tcPr>
          <w:p w14:paraId="300EC5E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69,64</w:t>
            </w:r>
            <w:r w:rsidRPr="005652D3">
              <w:rPr>
                <w:rFonts w:ascii="Gadugi" w:eastAsia="Gadugi" w:hAnsi="Gadugi" w:cs="Gadugi"/>
                <w:sz w:val="18"/>
                <w:lang w:val="fr-CA" w:bidi="fr-CA"/>
              </w:rPr>
              <w:tab/>
              <w:t>113,55</w:t>
            </w:r>
          </w:p>
        </w:tc>
        <w:tc>
          <w:tcPr>
            <w:tcW w:w="1800" w:type="dxa"/>
            <w:tcBorders>
              <w:top w:val="none" w:sz="6" w:space="0" w:color="auto"/>
              <w:left w:val="single" w:sz="4" w:space="0" w:color="000000"/>
              <w:bottom w:val="none" w:sz="6" w:space="0" w:color="auto"/>
              <w:right w:val="single" w:sz="4" w:space="0" w:color="000000"/>
            </w:tcBorders>
          </w:tcPr>
          <w:p w14:paraId="41CAF9C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69,29</w:t>
            </w:r>
            <w:r w:rsidRPr="005652D3">
              <w:rPr>
                <w:rFonts w:ascii="Gadugi" w:eastAsia="Gadugi" w:hAnsi="Gadugi" w:cs="Gadugi"/>
                <w:sz w:val="18"/>
                <w:lang w:val="fr-CA" w:bidi="fr-CA"/>
              </w:rPr>
              <w:tab/>
              <w:t>85,69</w:t>
            </w:r>
            <w:r w:rsidRPr="005652D3">
              <w:rPr>
                <w:rFonts w:ascii="Gadugi" w:eastAsia="Gadugi" w:hAnsi="Gadugi" w:cs="Gadugi"/>
                <w:sz w:val="18"/>
                <w:lang w:val="fr-CA" w:bidi="fr-CA"/>
              </w:rPr>
              <w:tab/>
              <w:t>112,81</w:t>
            </w:r>
          </w:p>
        </w:tc>
        <w:tc>
          <w:tcPr>
            <w:tcW w:w="529" w:type="dxa"/>
            <w:tcBorders>
              <w:top w:val="none" w:sz="6" w:space="0" w:color="auto"/>
              <w:left w:val="single" w:sz="4" w:space="0" w:color="000000"/>
              <w:bottom w:val="none" w:sz="6" w:space="0" w:color="auto"/>
              <w:right w:val="none" w:sz="6" w:space="0" w:color="auto"/>
            </w:tcBorders>
            <w:vAlign w:val="bottom"/>
          </w:tcPr>
          <w:p w14:paraId="22DCE604"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0F70ED11"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7A434ED5"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0334414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6B94366"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76,22</w:t>
            </w:r>
            <w:r w:rsidRPr="005652D3">
              <w:rPr>
                <w:rFonts w:ascii="Gadugi" w:eastAsia="Gadugi" w:hAnsi="Gadugi" w:cs="Gadugi"/>
                <w:sz w:val="18"/>
                <w:lang w:val="fr-CA" w:bidi="fr-CA"/>
              </w:rPr>
              <w:tab/>
              <w:t>124,27</w:t>
            </w:r>
          </w:p>
        </w:tc>
        <w:tc>
          <w:tcPr>
            <w:tcW w:w="1871" w:type="dxa"/>
            <w:tcBorders>
              <w:top w:val="none" w:sz="6" w:space="0" w:color="auto"/>
              <w:left w:val="single" w:sz="4" w:space="0" w:color="000000"/>
              <w:bottom w:val="none" w:sz="6" w:space="0" w:color="auto"/>
              <w:right w:val="single" w:sz="4" w:space="0" w:color="000000"/>
            </w:tcBorders>
          </w:tcPr>
          <w:p w14:paraId="0C5B442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75,83</w:t>
            </w:r>
            <w:r w:rsidRPr="005652D3">
              <w:rPr>
                <w:rFonts w:ascii="Gadugi" w:eastAsia="Gadugi" w:hAnsi="Gadugi" w:cs="Gadugi"/>
                <w:sz w:val="18"/>
                <w:lang w:val="fr-CA" w:bidi="fr-CA"/>
              </w:rPr>
              <w:tab/>
              <w:t>93,79</w:t>
            </w:r>
            <w:r w:rsidRPr="005652D3">
              <w:rPr>
                <w:rFonts w:ascii="Gadugi" w:eastAsia="Gadugi" w:hAnsi="Gadugi" w:cs="Gadugi"/>
                <w:sz w:val="18"/>
                <w:lang w:val="fr-CA" w:bidi="fr-CA"/>
              </w:rPr>
              <w:tab/>
              <w:t>123,47</w:t>
            </w:r>
          </w:p>
        </w:tc>
        <w:tc>
          <w:tcPr>
            <w:tcW w:w="591" w:type="dxa"/>
            <w:tcBorders>
              <w:top w:val="none" w:sz="6" w:space="0" w:color="auto"/>
              <w:left w:val="single" w:sz="4" w:space="0" w:color="000000"/>
              <w:bottom w:val="none" w:sz="6" w:space="0" w:color="auto"/>
              <w:right w:val="none" w:sz="6" w:space="0" w:color="auto"/>
            </w:tcBorders>
            <w:vAlign w:val="bottom"/>
          </w:tcPr>
          <w:p w14:paraId="24532B96"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25BBDB62"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32DC12E6"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3FCDC24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3A38EB0"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458373BB"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27FB78A6"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Igloolik</w:t>
            </w:r>
          </w:p>
        </w:tc>
        <w:tc>
          <w:tcPr>
            <w:tcW w:w="1692" w:type="dxa"/>
            <w:tcBorders>
              <w:top w:val="none" w:sz="6" w:space="0" w:color="auto"/>
              <w:left w:val="single" w:sz="4" w:space="0" w:color="000000"/>
              <w:bottom w:val="none" w:sz="6" w:space="0" w:color="auto"/>
              <w:right w:val="single" w:sz="4" w:space="0" w:color="000000"/>
            </w:tcBorders>
          </w:tcPr>
          <w:p w14:paraId="75503A8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48,50</w:t>
            </w:r>
            <w:r w:rsidRPr="005652D3">
              <w:rPr>
                <w:rFonts w:ascii="Gadugi" w:eastAsia="Gadugi" w:hAnsi="Gadugi" w:cs="Gadugi"/>
                <w:sz w:val="18"/>
                <w:lang w:val="fr-CA" w:bidi="fr-CA"/>
              </w:rPr>
              <w:tab/>
              <w:t>78,97</w:t>
            </w:r>
          </w:p>
        </w:tc>
        <w:tc>
          <w:tcPr>
            <w:tcW w:w="1800" w:type="dxa"/>
            <w:tcBorders>
              <w:top w:val="none" w:sz="6" w:space="0" w:color="auto"/>
              <w:left w:val="single" w:sz="4" w:space="0" w:color="000000"/>
              <w:bottom w:val="none" w:sz="6" w:space="0" w:color="auto"/>
              <w:right w:val="single" w:sz="4" w:space="0" w:color="000000"/>
            </w:tcBorders>
          </w:tcPr>
          <w:p w14:paraId="21E2AFD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48,15</w:t>
            </w:r>
            <w:r w:rsidRPr="005652D3">
              <w:rPr>
                <w:rFonts w:ascii="Gadugi" w:eastAsia="Gadugi" w:hAnsi="Gadugi" w:cs="Gadugi"/>
                <w:sz w:val="18"/>
                <w:lang w:val="fr-CA" w:bidi="fr-CA"/>
              </w:rPr>
              <w:tab/>
              <w:t>59,51</w:t>
            </w:r>
            <w:r w:rsidRPr="005652D3">
              <w:rPr>
                <w:rFonts w:ascii="Gadugi" w:eastAsia="Gadugi" w:hAnsi="Gadugi" w:cs="Gadugi"/>
                <w:sz w:val="18"/>
                <w:lang w:val="fr-CA" w:bidi="fr-CA"/>
              </w:rPr>
              <w:tab/>
              <w:t>78,23</w:t>
            </w:r>
          </w:p>
        </w:tc>
        <w:tc>
          <w:tcPr>
            <w:tcW w:w="529" w:type="dxa"/>
            <w:tcBorders>
              <w:top w:val="none" w:sz="6" w:space="0" w:color="auto"/>
              <w:left w:val="single" w:sz="4" w:space="0" w:color="000000"/>
              <w:bottom w:val="none" w:sz="6" w:space="0" w:color="auto"/>
              <w:right w:val="none" w:sz="6" w:space="0" w:color="auto"/>
            </w:tcBorders>
            <w:vAlign w:val="bottom"/>
          </w:tcPr>
          <w:p w14:paraId="10811172"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4286EE52"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4D71AA90" w14:textId="77777777" w:rsidR="005A14DA" w:rsidRPr="005652D3" w:rsidRDefault="005A14DA" w:rsidP="009D106A">
            <w:pPr>
              <w:widowControl/>
              <w:kinsoku w:val="0"/>
              <w:overflowPunct w:val="0"/>
              <w:adjustRightInd w:val="0"/>
              <w:spacing w:before="1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1CA929EF"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0BA8493"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53,08</w:t>
            </w:r>
            <w:r w:rsidRPr="005652D3">
              <w:rPr>
                <w:rFonts w:ascii="Gadugi" w:eastAsia="Gadugi" w:hAnsi="Gadugi" w:cs="Gadugi"/>
                <w:sz w:val="18"/>
                <w:lang w:val="fr-CA" w:bidi="fr-CA"/>
              </w:rPr>
              <w:tab/>
              <w:t>86,43</w:t>
            </w:r>
          </w:p>
        </w:tc>
        <w:tc>
          <w:tcPr>
            <w:tcW w:w="1871" w:type="dxa"/>
            <w:tcBorders>
              <w:top w:val="none" w:sz="6" w:space="0" w:color="auto"/>
              <w:left w:val="single" w:sz="4" w:space="0" w:color="000000"/>
              <w:bottom w:val="none" w:sz="6" w:space="0" w:color="auto"/>
              <w:right w:val="single" w:sz="4" w:space="0" w:color="000000"/>
            </w:tcBorders>
          </w:tcPr>
          <w:p w14:paraId="2E7CD192"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52,70</w:t>
            </w:r>
            <w:r w:rsidRPr="005652D3">
              <w:rPr>
                <w:rFonts w:ascii="Gadugi" w:eastAsia="Gadugi" w:hAnsi="Gadugi" w:cs="Gadugi"/>
                <w:sz w:val="18"/>
                <w:lang w:val="fr-CA" w:bidi="fr-CA"/>
              </w:rPr>
              <w:tab/>
              <w:t>65,13</w:t>
            </w:r>
            <w:r w:rsidRPr="005652D3">
              <w:rPr>
                <w:rFonts w:ascii="Gadugi" w:eastAsia="Gadugi" w:hAnsi="Gadugi" w:cs="Gadugi"/>
                <w:sz w:val="18"/>
                <w:lang w:val="fr-CA" w:bidi="fr-CA"/>
              </w:rPr>
              <w:tab/>
              <w:t>85,63</w:t>
            </w:r>
          </w:p>
        </w:tc>
        <w:tc>
          <w:tcPr>
            <w:tcW w:w="591" w:type="dxa"/>
            <w:tcBorders>
              <w:top w:val="none" w:sz="6" w:space="0" w:color="auto"/>
              <w:left w:val="single" w:sz="4" w:space="0" w:color="000000"/>
              <w:bottom w:val="none" w:sz="6" w:space="0" w:color="auto"/>
              <w:right w:val="none" w:sz="6" w:space="0" w:color="auto"/>
            </w:tcBorders>
            <w:vAlign w:val="bottom"/>
          </w:tcPr>
          <w:p w14:paraId="0580A389"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330E7BEA"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4DB47BE0"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20011F3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61818FC"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67DCCEA9"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EFBB44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lastRenderedPageBreak/>
              <w:t>Sanirajak</w:t>
            </w:r>
          </w:p>
        </w:tc>
        <w:tc>
          <w:tcPr>
            <w:tcW w:w="1692" w:type="dxa"/>
            <w:tcBorders>
              <w:top w:val="none" w:sz="6" w:space="0" w:color="auto"/>
              <w:left w:val="single" w:sz="4" w:space="0" w:color="000000"/>
              <w:bottom w:val="none" w:sz="6" w:space="0" w:color="auto"/>
              <w:right w:val="single" w:sz="4" w:space="0" w:color="000000"/>
            </w:tcBorders>
          </w:tcPr>
          <w:p w14:paraId="793F3452"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66,31</w:t>
            </w:r>
            <w:r w:rsidRPr="005652D3">
              <w:rPr>
                <w:rFonts w:ascii="Gadugi" w:eastAsia="Gadugi" w:hAnsi="Gadugi" w:cs="Gadugi"/>
                <w:sz w:val="18"/>
                <w:lang w:val="fr-CA" w:bidi="fr-CA"/>
              </w:rPr>
              <w:tab/>
              <w:t>108,10</w:t>
            </w:r>
          </w:p>
        </w:tc>
        <w:tc>
          <w:tcPr>
            <w:tcW w:w="1800" w:type="dxa"/>
            <w:tcBorders>
              <w:top w:val="none" w:sz="6" w:space="0" w:color="auto"/>
              <w:left w:val="single" w:sz="4" w:space="0" w:color="000000"/>
              <w:bottom w:val="none" w:sz="6" w:space="0" w:color="auto"/>
              <w:right w:val="single" w:sz="4" w:space="0" w:color="000000"/>
            </w:tcBorders>
          </w:tcPr>
          <w:p w14:paraId="08C720A8"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65,96</w:t>
            </w:r>
            <w:r w:rsidRPr="005652D3">
              <w:rPr>
                <w:rFonts w:ascii="Gadugi" w:eastAsia="Gadugi" w:hAnsi="Gadugi" w:cs="Gadugi"/>
                <w:sz w:val="18"/>
                <w:lang w:val="fr-CA" w:bidi="fr-CA"/>
              </w:rPr>
              <w:tab/>
              <w:t>81,60</w:t>
            </w:r>
            <w:r w:rsidRPr="005652D3">
              <w:rPr>
                <w:rFonts w:ascii="Gadugi" w:eastAsia="Gadugi" w:hAnsi="Gadugi" w:cs="Gadugi"/>
                <w:sz w:val="18"/>
                <w:lang w:val="fr-CA" w:bidi="fr-CA"/>
              </w:rPr>
              <w:tab/>
              <w:t>107,36</w:t>
            </w:r>
          </w:p>
        </w:tc>
        <w:tc>
          <w:tcPr>
            <w:tcW w:w="529" w:type="dxa"/>
            <w:tcBorders>
              <w:top w:val="none" w:sz="6" w:space="0" w:color="auto"/>
              <w:left w:val="single" w:sz="4" w:space="0" w:color="000000"/>
              <w:bottom w:val="none" w:sz="6" w:space="0" w:color="auto"/>
              <w:right w:val="none" w:sz="6" w:space="0" w:color="auto"/>
            </w:tcBorders>
            <w:vAlign w:val="bottom"/>
          </w:tcPr>
          <w:p w14:paraId="5A3C920A"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60BB6EA2"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1190375D"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64A89D9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33B2632D"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72,58</w:t>
            </w:r>
            <w:r w:rsidRPr="005652D3">
              <w:rPr>
                <w:rFonts w:ascii="Gadugi" w:eastAsia="Gadugi" w:hAnsi="Gadugi" w:cs="Gadugi"/>
                <w:sz w:val="18"/>
                <w:lang w:val="fr-CA" w:bidi="fr-CA"/>
              </w:rPr>
              <w:tab/>
              <w:t>118,31</w:t>
            </w:r>
          </w:p>
        </w:tc>
        <w:tc>
          <w:tcPr>
            <w:tcW w:w="1871" w:type="dxa"/>
            <w:tcBorders>
              <w:top w:val="none" w:sz="6" w:space="0" w:color="auto"/>
              <w:left w:val="single" w:sz="4" w:space="0" w:color="000000"/>
              <w:bottom w:val="none" w:sz="6" w:space="0" w:color="auto"/>
              <w:right w:val="single" w:sz="4" w:space="0" w:color="000000"/>
            </w:tcBorders>
          </w:tcPr>
          <w:p w14:paraId="5D938D76"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72,20</w:t>
            </w:r>
            <w:r w:rsidRPr="005652D3">
              <w:rPr>
                <w:rFonts w:ascii="Gadugi" w:eastAsia="Gadugi" w:hAnsi="Gadugi" w:cs="Gadugi"/>
                <w:sz w:val="18"/>
                <w:lang w:val="fr-CA" w:bidi="fr-CA"/>
              </w:rPr>
              <w:tab/>
              <w:t>89,31</w:t>
            </w:r>
            <w:r w:rsidRPr="005652D3">
              <w:rPr>
                <w:rFonts w:ascii="Gadugi" w:eastAsia="Gadugi" w:hAnsi="Gadugi" w:cs="Gadugi"/>
                <w:sz w:val="18"/>
                <w:lang w:val="fr-CA" w:bidi="fr-CA"/>
              </w:rPr>
              <w:tab/>
              <w:t>117,50</w:t>
            </w:r>
          </w:p>
        </w:tc>
        <w:tc>
          <w:tcPr>
            <w:tcW w:w="591" w:type="dxa"/>
            <w:tcBorders>
              <w:top w:val="none" w:sz="6" w:space="0" w:color="auto"/>
              <w:left w:val="single" w:sz="4" w:space="0" w:color="000000"/>
              <w:bottom w:val="none" w:sz="6" w:space="0" w:color="auto"/>
              <w:right w:val="none" w:sz="6" w:space="0" w:color="auto"/>
            </w:tcBorders>
            <w:vAlign w:val="bottom"/>
          </w:tcPr>
          <w:p w14:paraId="00A6D917"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1BE2E61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6AA152DF"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49F536E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F47FDB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792A542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1CF1154B"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Qikiqtarjuaq</w:t>
            </w:r>
          </w:p>
        </w:tc>
        <w:tc>
          <w:tcPr>
            <w:tcW w:w="1692" w:type="dxa"/>
            <w:tcBorders>
              <w:top w:val="none" w:sz="6" w:space="0" w:color="auto"/>
              <w:left w:val="single" w:sz="4" w:space="0" w:color="000000"/>
              <w:bottom w:val="none" w:sz="6" w:space="0" w:color="auto"/>
              <w:right w:val="single" w:sz="4" w:space="0" w:color="000000"/>
            </w:tcBorders>
          </w:tcPr>
          <w:p w14:paraId="67CAA74D"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55,35</w:t>
            </w:r>
            <w:r w:rsidRPr="005652D3">
              <w:rPr>
                <w:rFonts w:ascii="Gadugi" w:eastAsia="Gadugi" w:hAnsi="Gadugi" w:cs="Gadugi"/>
                <w:sz w:val="18"/>
                <w:lang w:val="fr-CA" w:bidi="fr-CA"/>
              </w:rPr>
              <w:tab/>
              <w:t>90,19</w:t>
            </w:r>
          </w:p>
        </w:tc>
        <w:tc>
          <w:tcPr>
            <w:tcW w:w="1800" w:type="dxa"/>
            <w:tcBorders>
              <w:top w:val="none" w:sz="6" w:space="0" w:color="auto"/>
              <w:left w:val="single" w:sz="4" w:space="0" w:color="000000"/>
              <w:bottom w:val="none" w:sz="6" w:space="0" w:color="auto"/>
              <w:right w:val="single" w:sz="4" w:space="0" w:color="000000"/>
            </w:tcBorders>
          </w:tcPr>
          <w:p w14:paraId="648112A2"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55,01</w:t>
            </w:r>
            <w:r w:rsidRPr="005652D3">
              <w:rPr>
                <w:rFonts w:ascii="Gadugi" w:eastAsia="Gadugi" w:hAnsi="Gadugi" w:cs="Gadugi"/>
                <w:sz w:val="18"/>
                <w:lang w:val="fr-CA" w:bidi="fr-CA"/>
              </w:rPr>
              <w:tab/>
              <w:t>68,00</w:t>
            </w:r>
            <w:r w:rsidRPr="005652D3">
              <w:rPr>
                <w:rFonts w:ascii="Gadugi" w:eastAsia="Gadugi" w:hAnsi="Gadugi" w:cs="Gadugi"/>
                <w:sz w:val="18"/>
                <w:lang w:val="fr-CA" w:bidi="fr-CA"/>
              </w:rPr>
              <w:tab/>
              <w:t>89,46</w:t>
            </w:r>
          </w:p>
        </w:tc>
        <w:tc>
          <w:tcPr>
            <w:tcW w:w="529" w:type="dxa"/>
            <w:tcBorders>
              <w:top w:val="none" w:sz="6" w:space="0" w:color="auto"/>
              <w:left w:val="single" w:sz="4" w:space="0" w:color="000000"/>
              <w:bottom w:val="none" w:sz="6" w:space="0" w:color="auto"/>
              <w:right w:val="none" w:sz="6" w:space="0" w:color="auto"/>
            </w:tcBorders>
            <w:vAlign w:val="bottom"/>
          </w:tcPr>
          <w:p w14:paraId="46B4ACA3"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1C4FD69D"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3DE90001"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2EB1FE5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D76BFC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60,58</w:t>
            </w:r>
            <w:r w:rsidRPr="005652D3">
              <w:rPr>
                <w:rFonts w:ascii="Gadugi" w:eastAsia="Gadugi" w:hAnsi="Gadugi" w:cs="Gadugi"/>
                <w:sz w:val="18"/>
                <w:lang w:val="fr-CA" w:bidi="fr-CA"/>
              </w:rPr>
              <w:tab/>
              <w:t>98,71</w:t>
            </w:r>
          </w:p>
        </w:tc>
        <w:tc>
          <w:tcPr>
            <w:tcW w:w="1871" w:type="dxa"/>
            <w:tcBorders>
              <w:top w:val="none" w:sz="6" w:space="0" w:color="auto"/>
              <w:left w:val="single" w:sz="4" w:space="0" w:color="000000"/>
              <w:bottom w:val="none" w:sz="6" w:space="0" w:color="auto"/>
              <w:right w:val="single" w:sz="4" w:space="0" w:color="000000"/>
            </w:tcBorders>
          </w:tcPr>
          <w:p w14:paraId="4FA8C26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60,20</w:t>
            </w:r>
            <w:r w:rsidRPr="005652D3">
              <w:rPr>
                <w:rFonts w:ascii="Gadugi" w:eastAsia="Gadugi" w:hAnsi="Gadugi" w:cs="Gadugi"/>
                <w:sz w:val="18"/>
                <w:lang w:val="fr-CA" w:bidi="fr-CA"/>
              </w:rPr>
              <w:tab/>
              <w:t>74,43</w:t>
            </w:r>
            <w:r w:rsidRPr="005652D3">
              <w:rPr>
                <w:rFonts w:ascii="Gadugi" w:eastAsia="Gadugi" w:hAnsi="Gadugi" w:cs="Gadugi"/>
                <w:sz w:val="18"/>
                <w:lang w:val="fr-CA" w:bidi="fr-CA"/>
              </w:rPr>
              <w:tab/>
              <w:t>97,91</w:t>
            </w:r>
          </w:p>
        </w:tc>
        <w:tc>
          <w:tcPr>
            <w:tcW w:w="591" w:type="dxa"/>
            <w:tcBorders>
              <w:top w:val="none" w:sz="6" w:space="0" w:color="auto"/>
              <w:left w:val="single" w:sz="4" w:space="0" w:color="000000"/>
              <w:bottom w:val="none" w:sz="6" w:space="0" w:color="auto"/>
              <w:right w:val="none" w:sz="6" w:space="0" w:color="auto"/>
            </w:tcBorders>
            <w:vAlign w:val="bottom"/>
          </w:tcPr>
          <w:p w14:paraId="1838078D"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38865CED"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15A7CC7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615C897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6125A98"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396A0787"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7EC562E"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Kimmirut</w:t>
            </w:r>
          </w:p>
        </w:tc>
        <w:tc>
          <w:tcPr>
            <w:tcW w:w="1692" w:type="dxa"/>
            <w:tcBorders>
              <w:top w:val="none" w:sz="6" w:space="0" w:color="auto"/>
              <w:left w:val="single" w:sz="4" w:space="0" w:color="000000"/>
              <w:bottom w:val="none" w:sz="6" w:space="0" w:color="auto"/>
              <w:right w:val="single" w:sz="4" w:space="0" w:color="000000"/>
            </w:tcBorders>
          </w:tcPr>
          <w:p w14:paraId="70B30B15"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71,11</w:t>
            </w:r>
            <w:r w:rsidRPr="005652D3">
              <w:rPr>
                <w:rFonts w:ascii="Gadugi" w:eastAsia="Gadugi" w:hAnsi="Gadugi" w:cs="Gadugi"/>
                <w:sz w:val="18"/>
                <w:lang w:val="fr-CA" w:bidi="fr-CA"/>
              </w:rPr>
              <w:tab/>
              <w:t>115,96</w:t>
            </w:r>
          </w:p>
        </w:tc>
        <w:tc>
          <w:tcPr>
            <w:tcW w:w="1800" w:type="dxa"/>
            <w:tcBorders>
              <w:top w:val="none" w:sz="6" w:space="0" w:color="auto"/>
              <w:left w:val="single" w:sz="4" w:space="0" w:color="000000"/>
              <w:bottom w:val="none" w:sz="6" w:space="0" w:color="auto"/>
              <w:right w:val="single" w:sz="4" w:space="0" w:color="000000"/>
            </w:tcBorders>
          </w:tcPr>
          <w:p w14:paraId="1FBD25C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70,76</w:t>
            </w:r>
            <w:r w:rsidRPr="005652D3">
              <w:rPr>
                <w:rFonts w:ascii="Gadugi" w:eastAsia="Gadugi" w:hAnsi="Gadugi" w:cs="Gadugi"/>
                <w:sz w:val="18"/>
                <w:lang w:val="fr-CA" w:bidi="fr-CA"/>
              </w:rPr>
              <w:tab/>
              <w:t>87,52</w:t>
            </w:r>
            <w:r w:rsidRPr="005652D3">
              <w:rPr>
                <w:rFonts w:ascii="Gadugi" w:eastAsia="Gadugi" w:hAnsi="Gadugi" w:cs="Gadugi"/>
                <w:sz w:val="18"/>
                <w:lang w:val="fr-CA" w:bidi="fr-CA"/>
              </w:rPr>
              <w:tab/>
              <w:t>115,22</w:t>
            </w:r>
          </w:p>
        </w:tc>
        <w:tc>
          <w:tcPr>
            <w:tcW w:w="529" w:type="dxa"/>
            <w:tcBorders>
              <w:top w:val="none" w:sz="6" w:space="0" w:color="auto"/>
              <w:left w:val="single" w:sz="4" w:space="0" w:color="000000"/>
              <w:bottom w:val="none" w:sz="6" w:space="0" w:color="auto"/>
              <w:right w:val="none" w:sz="6" w:space="0" w:color="auto"/>
            </w:tcBorders>
            <w:vAlign w:val="bottom"/>
          </w:tcPr>
          <w:p w14:paraId="36602F5F"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230619B1"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3C146E66"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76DC036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17ADFFA"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77,83</w:t>
            </w:r>
            <w:r w:rsidRPr="005652D3">
              <w:rPr>
                <w:rFonts w:ascii="Gadugi" w:eastAsia="Gadugi" w:hAnsi="Gadugi" w:cs="Gadugi"/>
                <w:sz w:val="18"/>
                <w:lang w:val="fr-CA" w:bidi="fr-CA"/>
              </w:rPr>
              <w:tab/>
              <w:t>126,92</w:t>
            </w:r>
          </w:p>
        </w:tc>
        <w:tc>
          <w:tcPr>
            <w:tcW w:w="1871" w:type="dxa"/>
            <w:tcBorders>
              <w:top w:val="none" w:sz="6" w:space="0" w:color="auto"/>
              <w:left w:val="single" w:sz="4" w:space="0" w:color="000000"/>
              <w:bottom w:val="none" w:sz="6" w:space="0" w:color="auto"/>
              <w:right w:val="single" w:sz="4" w:space="0" w:color="000000"/>
            </w:tcBorders>
          </w:tcPr>
          <w:p w14:paraId="11EF7322"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77,45</w:t>
            </w:r>
            <w:r w:rsidRPr="005652D3">
              <w:rPr>
                <w:rFonts w:ascii="Gadugi" w:eastAsia="Gadugi" w:hAnsi="Gadugi" w:cs="Gadugi"/>
                <w:sz w:val="18"/>
                <w:lang w:val="fr-CA" w:bidi="fr-CA"/>
              </w:rPr>
              <w:tab/>
              <w:t>95,79</w:t>
            </w:r>
            <w:r w:rsidRPr="005652D3">
              <w:rPr>
                <w:rFonts w:ascii="Gadugi" w:eastAsia="Gadugi" w:hAnsi="Gadugi" w:cs="Gadugi"/>
                <w:sz w:val="18"/>
                <w:lang w:val="fr-CA" w:bidi="fr-CA"/>
              </w:rPr>
              <w:tab/>
              <w:t>126,11</w:t>
            </w:r>
          </w:p>
        </w:tc>
        <w:tc>
          <w:tcPr>
            <w:tcW w:w="591" w:type="dxa"/>
            <w:tcBorders>
              <w:top w:val="none" w:sz="6" w:space="0" w:color="auto"/>
              <w:left w:val="single" w:sz="4" w:space="0" w:color="000000"/>
              <w:bottom w:val="none" w:sz="6" w:space="0" w:color="auto"/>
              <w:right w:val="none" w:sz="6" w:space="0" w:color="auto"/>
            </w:tcBorders>
            <w:vAlign w:val="bottom"/>
          </w:tcPr>
          <w:p w14:paraId="2A2095D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3F209B8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60FAE4F4"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142E41D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DA12089"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6E632E93"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33AFA521"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Arctic Bay</w:t>
            </w:r>
          </w:p>
        </w:tc>
        <w:tc>
          <w:tcPr>
            <w:tcW w:w="1692" w:type="dxa"/>
            <w:tcBorders>
              <w:top w:val="none" w:sz="6" w:space="0" w:color="auto"/>
              <w:left w:val="single" w:sz="4" w:space="0" w:color="000000"/>
              <w:bottom w:val="none" w:sz="6" w:space="0" w:color="auto"/>
              <w:right w:val="single" w:sz="4" w:space="0" w:color="000000"/>
            </w:tcBorders>
          </w:tcPr>
          <w:p w14:paraId="745EA9B8"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55,67</w:t>
            </w:r>
            <w:r w:rsidRPr="005652D3">
              <w:rPr>
                <w:rFonts w:ascii="Gadugi" w:eastAsia="Gadugi" w:hAnsi="Gadugi" w:cs="Gadugi"/>
                <w:sz w:val="18"/>
                <w:lang w:val="fr-CA" w:bidi="fr-CA"/>
              </w:rPr>
              <w:tab/>
              <w:t>90,72</w:t>
            </w:r>
          </w:p>
        </w:tc>
        <w:tc>
          <w:tcPr>
            <w:tcW w:w="1800" w:type="dxa"/>
            <w:tcBorders>
              <w:top w:val="none" w:sz="6" w:space="0" w:color="auto"/>
              <w:left w:val="single" w:sz="4" w:space="0" w:color="000000"/>
              <w:bottom w:val="none" w:sz="6" w:space="0" w:color="auto"/>
              <w:right w:val="single" w:sz="4" w:space="0" w:color="000000"/>
            </w:tcBorders>
          </w:tcPr>
          <w:p w14:paraId="6EA1E3A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55,32</w:t>
            </w:r>
            <w:r w:rsidRPr="005652D3">
              <w:rPr>
                <w:rFonts w:ascii="Gadugi" w:eastAsia="Gadugi" w:hAnsi="Gadugi" w:cs="Gadugi"/>
                <w:sz w:val="18"/>
                <w:lang w:val="fr-CA" w:bidi="fr-CA"/>
              </w:rPr>
              <w:tab/>
              <w:t>68,40</w:t>
            </w:r>
            <w:r w:rsidRPr="005652D3">
              <w:rPr>
                <w:rFonts w:ascii="Gadugi" w:eastAsia="Gadugi" w:hAnsi="Gadugi" w:cs="Gadugi"/>
                <w:sz w:val="18"/>
                <w:lang w:val="fr-CA" w:bidi="fr-CA"/>
              </w:rPr>
              <w:tab/>
              <w:t>89,98</w:t>
            </w:r>
          </w:p>
        </w:tc>
        <w:tc>
          <w:tcPr>
            <w:tcW w:w="529" w:type="dxa"/>
            <w:tcBorders>
              <w:top w:val="none" w:sz="6" w:space="0" w:color="auto"/>
              <w:left w:val="single" w:sz="4" w:space="0" w:color="000000"/>
              <w:bottom w:val="none" w:sz="6" w:space="0" w:color="auto"/>
              <w:right w:val="none" w:sz="6" w:space="0" w:color="auto"/>
            </w:tcBorders>
            <w:vAlign w:val="bottom"/>
          </w:tcPr>
          <w:p w14:paraId="53A7D94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694787F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78388671"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2B8A8A3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CE57935"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60,93</w:t>
            </w:r>
            <w:r w:rsidRPr="005652D3">
              <w:rPr>
                <w:rFonts w:ascii="Gadugi" w:eastAsia="Gadugi" w:hAnsi="Gadugi" w:cs="Gadugi"/>
                <w:sz w:val="18"/>
                <w:lang w:val="fr-CA" w:bidi="fr-CA"/>
              </w:rPr>
              <w:tab/>
              <w:t>99,29</w:t>
            </w:r>
          </w:p>
        </w:tc>
        <w:tc>
          <w:tcPr>
            <w:tcW w:w="1871" w:type="dxa"/>
            <w:tcBorders>
              <w:top w:val="none" w:sz="6" w:space="0" w:color="auto"/>
              <w:left w:val="single" w:sz="4" w:space="0" w:color="000000"/>
              <w:bottom w:val="none" w:sz="6" w:space="0" w:color="auto"/>
              <w:right w:val="single" w:sz="4" w:space="0" w:color="000000"/>
            </w:tcBorders>
          </w:tcPr>
          <w:p w14:paraId="0A67D18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60,54</w:t>
            </w:r>
            <w:r w:rsidRPr="005652D3">
              <w:rPr>
                <w:rFonts w:ascii="Gadugi" w:eastAsia="Gadugi" w:hAnsi="Gadugi" w:cs="Gadugi"/>
                <w:sz w:val="18"/>
                <w:lang w:val="fr-CA" w:bidi="fr-CA"/>
              </w:rPr>
              <w:tab/>
              <w:t>74,86</w:t>
            </w:r>
            <w:r w:rsidRPr="005652D3">
              <w:rPr>
                <w:rFonts w:ascii="Gadugi" w:eastAsia="Gadugi" w:hAnsi="Gadugi" w:cs="Gadugi"/>
                <w:sz w:val="18"/>
                <w:lang w:val="fr-CA" w:bidi="fr-CA"/>
              </w:rPr>
              <w:tab/>
              <w:t>98,48</w:t>
            </w:r>
          </w:p>
        </w:tc>
        <w:tc>
          <w:tcPr>
            <w:tcW w:w="591" w:type="dxa"/>
            <w:tcBorders>
              <w:top w:val="none" w:sz="6" w:space="0" w:color="auto"/>
              <w:left w:val="single" w:sz="4" w:space="0" w:color="000000"/>
              <w:bottom w:val="none" w:sz="6" w:space="0" w:color="auto"/>
              <w:right w:val="none" w:sz="6" w:space="0" w:color="auto"/>
            </w:tcBorders>
            <w:vAlign w:val="bottom"/>
          </w:tcPr>
          <w:p w14:paraId="4BDEEC4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421A783E" w14:textId="77777777" w:rsidR="005A14DA" w:rsidRPr="005652D3" w:rsidRDefault="005A14DA" w:rsidP="00980C4E">
            <w:pPr>
              <w:widowControl/>
              <w:kinsoku w:val="0"/>
              <w:overflowPunct w:val="0"/>
              <w:adjustRightInd w:val="0"/>
              <w:ind w:right="85"/>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0C83BB5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34B5CF4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DDD506D"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2480AAF6"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DFEBA7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Clyde River</w:t>
            </w:r>
          </w:p>
        </w:tc>
        <w:tc>
          <w:tcPr>
            <w:tcW w:w="1692" w:type="dxa"/>
            <w:tcBorders>
              <w:top w:val="none" w:sz="6" w:space="0" w:color="auto"/>
              <w:left w:val="single" w:sz="4" w:space="0" w:color="000000"/>
              <w:bottom w:val="none" w:sz="6" w:space="0" w:color="auto"/>
              <w:right w:val="single" w:sz="4" w:space="0" w:color="000000"/>
            </w:tcBorders>
          </w:tcPr>
          <w:p w14:paraId="6043FA7C"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65,30</w:t>
            </w:r>
            <w:r w:rsidRPr="005652D3">
              <w:rPr>
                <w:rFonts w:ascii="Gadugi" w:eastAsia="Gadugi" w:hAnsi="Gadugi" w:cs="Gadugi"/>
                <w:sz w:val="18"/>
                <w:lang w:val="fr-CA" w:bidi="fr-CA"/>
              </w:rPr>
              <w:tab/>
              <w:t>106,45</w:t>
            </w:r>
          </w:p>
        </w:tc>
        <w:tc>
          <w:tcPr>
            <w:tcW w:w="1800" w:type="dxa"/>
            <w:tcBorders>
              <w:top w:val="none" w:sz="6" w:space="0" w:color="auto"/>
              <w:left w:val="single" w:sz="4" w:space="0" w:color="000000"/>
              <w:bottom w:val="none" w:sz="6" w:space="0" w:color="auto"/>
              <w:right w:val="single" w:sz="4" w:space="0" w:color="000000"/>
            </w:tcBorders>
          </w:tcPr>
          <w:p w14:paraId="2AED5B1D"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64,96</w:t>
            </w:r>
            <w:r w:rsidRPr="005652D3">
              <w:rPr>
                <w:rFonts w:ascii="Gadugi" w:eastAsia="Gadugi" w:hAnsi="Gadugi" w:cs="Gadugi"/>
                <w:sz w:val="18"/>
                <w:lang w:val="fr-CA" w:bidi="fr-CA"/>
              </w:rPr>
              <w:tab/>
              <w:t>80,34</w:t>
            </w:r>
            <w:r w:rsidRPr="005652D3">
              <w:rPr>
                <w:rFonts w:ascii="Gadugi" w:eastAsia="Gadugi" w:hAnsi="Gadugi" w:cs="Gadugi"/>
                <w:sz w:val="18"/>
                <w:lang w:val="fr-CA" w:bidi="fr-CA"/>
              </w:rPr>
              <w:tab/>
              <w:t>105,72</w:t>
            </w:r>
          </w:p>
        </w:tc>
        <w:tc>
          <w:tcPr>
            <w:tcW w:w="529" w:type="dxa"/>
            <w:tcBorders>
              <w:top w:val="none" w:sz="6" w:space="0" w:color="auto"/>
              <w:left w:val="single" w:sz="4" w:space="0" w:color="000000"/>
              <w:bottom w:val="none" w:sz="6" w:space="0" w:color="auto"/>
              <w:right w:val="none" w:sz="6" w:space="0" w:color="auto"/>
            </w:tcBorders>
            <w:vAlign w:val="bottom"/>
          </w:tcPr>
          <w:p w14:paraId="6ECD28DF"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4FA5DBD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28EF7F14"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06EAF00C"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E079E4C"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71,47</w:t>
            </w:r>
            <w:r w:rsidRPr="005652D3">
              <w:rPr>
                <w:rFonts w:ascii="Gadugi" w:eastAsia="Gadugi" w:hAnsi="Gadugi" w:cs="Gadugi"/>
                <w:sz w:val="18"/>
                <w:lang w:val="fr-CA" w:bidi="fr-CA"/>
              </w:rPr>
              <w:tab/>
              <w:t>116,51</w:t>
            </w:r>
          </w:p>
        </w:tc>
        <w:tc>
          <w:tcPr>
            <w:tcW w:w="1871" w:type="dxa"/>
            <w:tcBorders>
              <w:top w:val="none" w:sz="6" w:space="0" w:color="auto"/>
              <w:left w:val="single" w:sz="4" w:space="0" w:color="000000"/>
              <w:bottom w:val="none" w:sz="6" w:space="0" w:color="auto"/>
              <w:right w:val="single" w:sz="4" w:space="0" w:color="000000"/>
            </w:tcBorders>
          </w:tcPr>
          <w:p w14:paraId="0550D4A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71,09</w:t>
            </w:r>
            <w:r w:rsidRPr="005652D3">
              <w:rPr>
                <w:rFonts w:ascii="Gadugi" w:eastAsia="Gadugi" w:hAnsi="Gadugi" w:cs="Gadugi"/>
                <w:sz w:val="18"/>
                <w:lang w:val="fr-CA" w:bidi="fr-CA"/>
              </w:rPr>
              <w:tab/>
              <w:t>87,93</w:t>
            </w:r>
            <w:r w:rsidRPr="005652D3">
              <w:rPr>
                <w:rFonts w:ascii="Gadugi" w:eastAsia="Gadugi" w:hAnsi="Gadugi" w:cs="Gadugi"/>
                <w:sz w:val="18"/>
                <w:lang w:val="fr-CA" w:bidi="fr-CA"/>
              </w:rPr>
              <w:tab/>
              <w:t>115,71</w:t>
            </w:r>
          </w:p>
        </w:tc>
        <w:tc>
          <w:tcPr>
            <w:tcW w:w="591" w:type="dxa"/>
            <w:tcBorders>
              <w:top w:val="none" w:sz="6" w:space="0" w:color="auto"/>
              <w:left w:val="single" w:sz="4" w:space="0" w:color="000000"/>
              <w:bottom w:val="none" w:sz="6" w:space="0" w:color="auto"/>
              <w:right w:val="none" w:sz="6" w:space="0" w:color="auto"/>
            </w:tcBorders>
            <w:vAlign w:val="bottom"/>
          </w:tcPr>
          <w:p w14:paraId="08FBCF7C"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3F538B55"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03151A11"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5B95BE0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AA7700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413E1AB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72B559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Grise Fiord</w:t>
            </w:r>
          </w:p>
        </w:tc>
        <w:tc>
          <w:tcPr>
            <w:tcW w:w="1692" w:type="dxa"/>
            <w:tcBorders>
              <w:top w:val="none" w:sz="6" w:space="0" w:color="auto"/>
              <w:left w:val="single" w:sz="4" w:space="0" w:color="000000"/>
              <w:bottom w:val="none" w:sz="6" w:space="0" w:color="auto"/>
              <w:right w:val="single" w:sz="4" w:space="0" w:color="000000"/>
            </w:tcBorders>
          </w:tcPr>
          <w:p w14:paraId="5480555B"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79,61</w:t>
            </w:r>
            <w:r w:rsidRPr="005652D3">
              <w:rPr>
                <w:rFonts w:ascii="Gadugi" w:eastAsia="Gadugi" w:hAnsi="Gadugi" w:cs="Gadugi"/>
                <w:sz w:val="18"/>
                <w:lang w:val="fr-CA" w:bidi="fr-CA"/>
              </w:rPr>
              <w:tab/>
              <w:t>129,86</w:t>
            </w:r>
          </w:p>
        </w:tc>
        <w:tc>
          <w:tcPr>
            <w:tcW w:w="1800" w:type="dxa"/>
            <w:tcBorders>
              <w:top w:val="none" w:sz="6" w:space="0" w:color="auto"/>
              <w:left w:val="single" w:sz="4" w:space="0" w:color="000000"/>
              <w:bottom w:val="none" w:sz="6" w:space="0" w:color="auto"/>
              <w:right w:val="single" w:sz="4" w:space="0" w:color="000000"/>
            </w:tcBorders>
          </w:tcPr>
          <w:p w14:paraId="5A575E7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79,26</w:t>
            </w:r>
            <w:r w:rsidRPr="005652D3">
              <w:rPr>
                <w:rFonts w:ascii="Gadugi" w:eastAsia="Gadugi" w:hAnsi="Gadugi" w:cs="Gadugi"/>
                <w:sz w:val="18"/>
                <w:lang w:val="fr-CA" w:bidi="fr-CA"/>
              </w:rPr>
              <w:tab/>
              <w:t>98,07</w:t>
            </w:r>
            <w:r w:rsidRPr="005652D3">
              <w:rPr>
                <w:rFonts w:ascii="Gadugi" w:eastAsia="Gadugi" w:hAnsi="Gadugi" w:cs="Gadugi"/>
                <w:sz w:val="18"/>
                <w:lang w:val="fr-CA" w:bidi="fr-CA"/>
              </w:rPr>
              <w:tab/>
              <w:t>129,12</w:t>
            </w:r>
          </w:p>
        </w:tc>
        <w:tc>
          <w:tcPr>
            <w:tcW w:w="529" w:type="dxa"/>
            <w:tcBorders>
              <w:top w:val="none" w:sz="6" w:space="0" w:color="auto"/>
              <w:left w:val="single" w:sz="4" w:space="0" w:color="000000"/>
              <w:bottom w:val="none" w:sz="6" w:space="0" w:color="auto"/>
              <w:right w:val="none" w:sz="6" w:space="0" w:color="auto"/>
            </w:tcBorders>
            <w:vAlign w:val="bottom"/>
          </w:tcPr>
          <w:p w14:paraId="64D11131"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none" w:sz="6" w:space="0" w:color="auto"/>
              <w:right w:val="none" w:sz="6" w:space="0" w:color="auto"/>
            </w:tcBorders>
            <w:vAlign w:val="bottom"/>
          </w:tcPr>
          <w:p w14:paraId="438D639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none" w:sz="6" w:space="0" w:color="auto"/>
              <w:right w:val="single" w:sz="4" w:space="0" w:color="000000"/>
            </w:tcBorders>
            <w:vAlign w:val="bottom"/>
          </w:tcPr>
          <w:p w14:paraId="223242B7"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7D363C6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4B8E23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87,13</w:t>
            </w:r>
            <w:r w:rsidRPr="005652D3">
              <w:rPr>
                <w:rFonts w:ascii="Gadugi" w:eastAsia="Gadugi" w:hAnsi="Gadugi" w:cs="Gadugi"/>
                <w:sz w:val="18"/>
                <w:lang w:val="fr-CA" w:bidi="fr-CA"/>
              </w:rPr>
              <w:tab/>
              <w:t>142,13</w:t>
            </w:r>
          </w:p>
        </w:tc>
        <w:tc>
          <w:tcPr>
            <w:tcW w:w="1871" w:type="dxa"/>
            <w:tcBorders>
              <w:top w:val="none" w:sz="6" w:space="0" w:color="auto"/>
              <w:left w:val="single" w:sz="4" w:space="0" w:color="000000"/>
              <w:bottom w:val="none" w:sz="6" w:space="0" w:color="auto"/>
              <w:right w:val="single" w:sz="4" w:space="0" w:color="000000"/>
            </w:tcBorders>
          </w:tcPr>
          <w:p w14:paraId="63CA151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86,75</w:t>
            </w:r>
            <w:r w:rsidRPr="005652D3">
              <w:rPr>
                <w:rFonts w:ascii="Gadugi" w:eastAsia="Gadugi" w:hAnsi="Gadugi" w:cs="Gadugi"/>
                <w:sz w:val="18"/>
                <w:lang w:val="fr-CA" w:bidi="fr-CA"/>
              </w:rPr>
              <w:tab/>
              <w:t>107,33</w:t>
            </w:r>
            <w:r w:rsidRPr="005652D3">
              <w:rPr>
                <w:rFonts w:ascii="Gadugi" w:eastAsia="Gadugi" w:hAnsi="Gadugi" w:cs="Gadugi"/>
                <w:sz w:val="18"/>
                <w:lang w:val="fr-CA" w:bidi="fr-CA"/>
              </w:rPr>
              <w:tab/>
              <w:t>141,32</w:t>
            </w:r>
          </w:p>
        </w:tc>
        <w:tc>
          <w:tcPr>
            <w:tcW w:w="591" w:type="dxa"/>
            <w:tcBorders>
              <w:top w:val="none" w:sz="6" w:space="0" w:color="auto"/>
              <w:left w:val="single" w:sz="4" w:space="0" w:color="000000"/>
              <w:bottom w:val="none" w:sz="6" w:space="0" w:color="auto"/>
              <w:right w:val="none" w:sz="6" w:space="0" w:color="auto"/>
            </w:tcBorders>
            <w:vAlign w:val="bottom"/>
          </w:tcPr>
          <w:p w14:paraId="5A980266" w14:textId="77777777" w:rsidR="005A14DA" w:rsidRPr="005652D3" w:rsidRDefault="005A14DA" w:rsidP="00980C4E">
            <w:pPr>
              <w:widowControl/>
              <w:kinsoku w:val="0"/>
              <w:overflowPunct w:val="0"/>
              <w:adjustRightInd w:val="0"/>
              <w:ind w:right="10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none" w:sz="6" w:space="0" w:color="auto"/>
              <w:right w:val="none" w:sz="6" w:space="0" w:color="auto"/>
            </w:tcBorders>
            <w:vAlign w:val="bottom"/>
          </w:tcPr>
          <w:p w14:paraId="14A0E43D"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none" w:sz="6" w:space="0" w:color="auto"/>
              <w:right w:val="single" w:sz="4" w:space="0" w:color="000000"/>
            </w:tcBorders>
            <w:vAlign w:val="bottom"/>
          </w:tcPr>
          <w:p w14:paraId="7B60C230"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4A0696F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79DA280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r w:rsidR="005A14DA" w:rsidRPr="005652D3" w14:paraId="64142F21" w14:textId="77777777" w:rsidTr="00232F8D">
        <w:trPr>
          <w:trHeight w:val="158"/>
        </w:trPr>
        <w:tc>
          <w:tcPr>
            <w:tcW w:w="1253" w:type="dxa"/>
            <w:tcBorders>
              <w:top w:val="none" w:sz="6" w:space="0" w:color="auto"/>
              <w:left w:val="single" w:sz="4" w:space="0" w:color="000000"/>
              <w:bottom w:val="single" w:sz="4" w:space="0" w:color="000000"/>
              <w:right w:val="single" w:sz="4" w:space="0" w:color="000000"/>
            </w:tcBorders>
          </w:tcPr>
          <w:p w14:paraId="0692A7E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B67947">
              <w:rPr>
                <w:rFonts w:ascii="Gadugi" w:eastAsia="Gadugi" w:hAnsi="Gadugi" w:cs="Gadugi"/>
                <w:sz w:val="18"/>
                <w:lang w:val="fr-CA" w:bidi="fr-CA"/>
              </w:rPr>
              <w:t>Sanikiluaq</w:t>
            </w:r>
          </w:p>
        </w:tc>
        <w:tc>
          <w:tcPr>
            <w:tcW w:w="1692" w:type="dxa"/>
            <w:tcBorders>
              <w:top w:val="none" w:sz="6" w:space="0" w:color="auto"/>
              <w:left w:val="single" w:sz="4" w:space="0" w:color="000000"/>
              <w:bottom w:val="single" w:sz="4" w:space="0" w:color="000000"/>
              <w:right w:val="single" w:sz="4" w:space="0" w:color="000000"/>
            </w:tcBorders>
          </w:tcPr>
          <w:p w14:paraId="433F49B1"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56,00</w:t>
            </w:r>
            <w:r w:rsidRPr="005652D3">
              <w:rPr>
                <w:rFonts w:ascii="Gadugi" w:eastAsia="Gadugi" w:hAnsi="Gadugi" w:cs="Gadugi"/>
                <w:sz w:val="18"/>
                <w:lang w:val="fr-CA" w:bidi="fr-CA"/>
              </w:rPr>
              <w:tab/>
              <w:t>91,28</w:t>
            </w:r>
          </w:p>
        </w:tc>
        <w:tc>
          <w:tcPr>
            <w:tcW w:w="1800" w:type="dxa"/>
            <w:tcBorders>
              <w:top w:val="none" w:sz="6" w:space="0" w:color="auto"/>
              <w:left w:val="single" w:sz="4" w:space="0" w:color="000000"/>
              <w:bottom w:val="single" w:sz="4" w:space="0" w:color="000000"/>
              <w:right w:val="single" w:sz="4" w:space="0" w:color="000000"/>
            </w:tcBorders>
          </w:tcPr>
          <w:p w14:paraId="6DFAD4CE"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55,65</w:t>
            </w:r>
            <w:r w:rsidRPr="005652D3">
              <w:rPr>
                <w:rFonts w:ascii="Gadugi" w:eastAsia="Gadugi" w:hAnsi="Gadugi" w:cs="Gadugi"/>
                <w:sz w:val="18"/>
                <w:lang w:val="fr-CA" w:bidi="fr-CA"/>
              </w:rPr>
              <w:tab/>
              <w:t>68,83</w:t>
            </w:r>
            <w:r w:rsidRPr="005652D3">
              <w:rPr>
                <w:rFonts w:ascii="Gadugi" w:eastAsia="Gadugi" w:hAnsi="Gadugi" w:cs="Gadugi"/>
                <w:sz w:val="18"/>
                <w:lang w:val="fr-CA" w:bidi="fr-CA"/>
              </w:rPr>
              <w:tab/>
              <w:t>90,55</w:t>
            </w:r>
          </w:p>
        </w:tc>
        <w:tc>
          <w:tcPr>
            <w:tcW w:w="529" w:type="dxa"/>
            <w:tcBorders>
              <w:top w:val="none" w:sz="6" w:space="0" w:color="auto"/>
              <w:left w:val="single" w:sz="4" w:space="0" w:color="000000"/>
              <w:bottom w:val="single" w:sz="4" w:space="0" w:color="000000"/>
              <w:right w:val="none" w:sz="6" w:space="0" w:color="auto"/>
            </w:tcBorders>
            <w:vAlign w:val="bottom"/>
          </w:tcPr>
          <w:p w14:paraId="4AC2C3F1"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22,91</w:t>
            </w:r>
          </w:p>
        </w:tc>
        <w:tc>
          <w:tcPr>
            <w:tcW w:w="551" w:type="dxa"/>
            <w:tcBorders>
              <w:top w:val="none" w:sz="6" w:space="0" w:color="auto"/>
              <w:left w:val="none" w:sz="6" w:space="0" w:color="auto"/>
              <w:bottom w:val="single" w:sz="4" w:space="0" w:color="000000"/>
              <w:right w:val="none" w:sz="6" w:space="0" w:color="auto"/>
            </w:tcBorders>
            <w:vAlign w:val="bottom"/>
          </w:tcPr>
          <w:p w14:paraId="2CE3DDFA"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34,36</w:t>
            </w:r>
          </w:p>
        </w:tc>
        <w:tc>
          <w:tcPr>
            <w:tcW w:w="558" w:type="dxa"/>
            <w:tcBorders>
              <w:top w:val="none" w:sz="6" w:space="0" w:color="auto"/>
              <w:left w:val="none" w:sz="6" w:space="0" w:color="auto"/>
              <w:bottom w:val="single" w:sz="4" w:space="0" w:color="000000"/>
              <w:right w:val="single" w:sz="4" w:space="0" w:color="000000"/>
            </w:tcBorders>
            <w:vAlign w:val="bottom"/>
          </w:tcPr>
          <w:p w14:paraId="3CC7891A" w14:textId="77777777" w:rsidR="005A14DA" w:rsidRPr="005652D3" w:rsidRDefault="005A14DA" w:rsidP="009D106A">
            <w:pPr>
              <w:widowControl/>
              <w:kinsoku w:val="0"/>
              <w:overflowPunct w:val="0"/>
              <w:adjustRightInd w:val="0"/>
              <w:spacing w:before="1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80,18</w:t>
            </w:r>
          </w:p>
        </w:tc>
        <w:tc>
          <w:tcPr>
            <w:tcW w:w="93" w:type="dxa"/>
            <w:vMerge/>
            <w:tcBorders>
              <w:top w:val="nil"/>
              <w:left w:val="single" w:sz="4" w:space="0" w:color="000000"/>
              <w:bottom w:val="single" w:sz="4" w:space="0" w:color="D9D9D9"/>
              <w:right w:val="single" w:sz="4" w:space="0" w:color="000000"/>
            </w:tcBorders>
          </w:tcPr>
          <w:p w14:paraId="4DE376A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single" w:sz="4" w:space="0" w:color="000000"/>
              <w:right w:val="single" w:sz="4" w:space="0" w:color="000000"/>
            </w:tcBorders>
          </w:tcPr>
          <w:p w14:paraId="2A4B8DB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61,29</w:t>
            </w:r>
            <w:r w:rsidRPr="005652D3">
              <w:rPr>
                <w:rFonts w:ascii="Gadugi" w:eastAsia="Gadugi" w:hAnsi="Gadugi" w:cs="Gadugi"/>
                <w:sz w:val="18"/>
                <w:lang w:val="fr-CA" w:bidi="fr-CA"/>
              </w:rPr>
              <w:tab/>
              <w:t>99,91</w:t>
            </w:r>
          </w:p>
        </w:tc>
        <w:tc>
          <w:tcPr>
            <w:tcW w:w="1871" w:type="dxa"/>
            <w:tcBorders>
              <w:top w:val="none" w:sz="6" w:space="0" w:color="auto"/>
              <w:left w:val="single" w:sz="4" w:space="0" w:color="000000"/>
              <w:bottom w:val="single" w:sz="4" w:space="0" w:color="000000"/>
              <w:right w:val="single" w:sz="4" w:space="0" w:color="000000"/>
            </w:tcBorders>
          </w:tcPr>
          <w:p w14:paraId="2F89071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fr-CA" w:bidi="fr-CA"/>
              </w:rPr>
              <w:tab/>
              <w:t>60,91</w:t>
            </w:r>
            <w:r w:rsidRPr="005652D3">
              <w:rPr>
                <w:rFonts w:ascii="Gadugi" w:eastAsia="Gadugi" w:hAnsi="Gadugi" w:cs="Gadugi"/>
                <w:sz w:val="18"/>
                <w:lang w:val="fr-CA" w:bidi="fr-CA"/>
              </w:rPr>
              <w:tab/>
              <w:t>75,34</w:t>
            </w:r>
            <w:r w:rsidRPr="005652D3">
              <w:rPr>
                <w:rFonts w:ascii="Gadugi" w:eastAsia="Gadugi" w:hAnsi="Gadugi" w:cs="Gadugi"/>
                <w:sz w:val="18"/>
                <w:lang w:val="fr-CA" w:bidi="fr-CA"/>
              </w:rPr>
              <w:tab/>
              <w:t>99,10</w:t>
            </w:r>
          </w:p>
        </w:tc>
        <w:tc>
          <w:tcPr>
            <w:tcW w:w="591" w:type="dxa"/>
            <w:tcBorders>
              <w:top w:val="none" w:sz="6" w:space="0" w:color="auto"/>
              <w:left w:val="single" w:sz="4" w:space="0" w:color="000000"/>
              <w:bottom w:val="single" w:sz="4" w:space="0" w:color="000000"/>
              <w:right w:val="none" w:sz="6" w:space="0" w:color="auto"/>
            </w:tcBorders>
            <w:vAlign w:val="bottom"/>
          </w:tcPr>
          <w:p w14:paraId="36E1D420"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25,08</w:t>
            </w:r>
          </w:p>
        </w:tc>
        <w:tc>
          <w:tcPr>
            <w:tcW w:w="540" w:type="dxa"/>
            <w:tcBorders>
              <w:top w:val="none" w:sz="6" w:space="0" w:color="auto"/>
              <w:left w:val="none" w:sz="6" w:space="0" w:color="auto"/>
              <w:bottom w:val="single" w:sz="4" w:space="0" w:color="000000"/>
              <w:right w:val="none" w:sz="6" w:space="0" w:color="auto"/>
            </w:tcBorders>
            <w:vAlign w:val="bottom"/>
          </w:tcPr>
          <w:p w14:paraId="1093902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37,61</w:t>
            </w:r>
          </w:p>
        </w:tc>
        <w:tc>
          <w:tcPr>
            <w:tcW w:w="450" w:type="dxa"/>
            <w:tcBorders>
              <w:top w:val="none" w:sz="6" w:space="0" w:color="auto"/>
              <w:left w:val="none" w:sz="6" w:space="0" w:color="auto"/>
              <w:bottom w:val="single" w:sz="4" w:space="0" w:color="000000"/>
              <w:right w:val="single" w:sz="4" w:space="0" w:color="000000"/>
            </w:tcBorders>
            <w:vAlign w:val="bottom"/>
          </w:tcPr>
          <w:p w14:paraId="080D779E"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fr-CA" w:bidi="fr-CA"/>
              </w:rPr>
              <w:t>87,75</w:t>
            </w:r>
          </w:p>
        </w:tc>
        <w:tc>
          <w:tcPr>
            <w:tcW w:w="74" w:type="dxa"/>
            <w:vMerge/>
            <w:tcBorders>
              <w:top w:val="nil"/>
              <w:left w:val="single" w:sz="4" w:space="0" w:color="000000"/>
              <w:bottom w:val="single" w:sz="4" w:space="0" w:color="D9D9D9"/>
              <w:right w:val="single" w:sz="4" w:space="0" w:color="000000"/>
            </w:tcBorders>
          </w:tcPr>
          <w:p w14:paraId="07B2A74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single" w:sz="4" w:space="0" w:color="000000"/>
              <w:right w:val="single" w:sz="4" w:space="0" w:color="000000"/>
            </w:tcBorders>
            <w:vAlign w:val="center"/>
          </w:tcPr>
          <w:p w14:paraId="6BC79E63"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fr-CA" w:bidi="fr-CA"/>
              </w:rPr>
              <w:t>9,4%</w:t>
            </w:r>
          </w:p>
        </w:tc>
      </w:tr>
    </w:tbl>
    <w:p w14:paraId="21C9D864" w14:textId="77777777" w:rsidR="00E527EA" w:rsidRDefault="00E527EA" w:rsidP="00FF2984">
      <w:pPr>
        <w:sectPr w:rsidR="00E527EA" w:rsidSect="00B23850">
          <w:headerReference w:type="default" r:id="rId23"/>
          <w:pgSz w:w="15840" w:h="12240" w:orient="landscape"/>
          <w:pgMar w:top="1440" w:right="1152" w:bottom="864" w:left="1152" w:header="1152" w:footer="720" w:gutter="0"/>
          <w:cols w:space="720"/>
          <w:docGrid w:linePitch="299"/>
        </w:sectPr>
      </w:pPr>
    </w:p>
    <w:p w14:paraId="783D5AE7" w14:textId="26E38BDD" w:rsidR="00EB459A" w:rsidRPr="00664778" w:rsidRDefault="00632157" w:rsidP="00172A40">
      <w:pPr>
        <w:pStyle w:val="URRCHeading1"/>
      </w:pPr>
      <w:bookmarkStart w:id="9" w:name="2.0_Background"/>
      <w:bookmarkStart w:id="10" w:name="_bookmark2"/>
      <w:bookmarkEnd w:id="9"/>
      <w:bookmarkEnd w:id="10"/>
      <w:r w:rsidRPr="00664778">
        <w:rPr>
          <w:rFonts w:ascii="Gadugi" w:eastAsia="Gadugi" w:hAnsi="Gadugi" w:cs="Gadugi"/>
          <w:lang w:val="fr-CA" w:bidi="fr-CA"/>
        </w:rPr>
        <w:lastRenderedPageBreak/>
        <w:t>CONTEXTE</w:t>
      </w:r>
    </w:p>
    <w:p w14:paraId="64D54015" w14:textId="77777777" w:rsidR="00AE6869" w:rsidRDefault="00AE6869" w:rsidP="00664778"/>
    <w:p w14:paraId="640862AF" w14:textId="5EA1FB28" w:rsidR="00EB459A" w:rsidRDefault="00BF7AB7" w:rsidP="00FF2984">
      <w:pPr>
        <w:pStyle w:val="BodyText"/>
        <w:numPr>
          <w:ilvl w:val="0"/>
          <w:numId w:val="4"/>
        </w:numPr>
        <w:spacing w:after="120" w:line="360" w:lineRule="auto"/>
        <w:ind w:left="907" w:hanging="547"/>
        <w:jc w:val="both"/>
      </w:pPr>
      <w:r>
        <w:rPr>
          <w:rFonts w:ascii="Gadugi" w:eastAsia="Gadugi" w:hAnsi="Gadugi" w:cs="Gadugi"/>
          <w:lang w:val="fr-CA" w:bidi="fr-CA"/>
        </w:rPr>
        <w:t>Les tarifs d’électricité de base actuels sont entrés en vigueur le 1</w:t>
      </w:r>
      <w:r>
        <w:rPr>
          <w:rFonts w:ascii="Gadugi" w:eastAsia="Gadugi" w:hAnsi="Gadugi" w:cs="Gadugi"/>
          <w:vertAlign w:val="superscript"/>
          <w:lang w:val="fr-CA" w:bidi="fr-CA"/>
        </w:rPr>
        <w:t>er </w:t>
      </w:r>
      <w:r>
        <w:rPr>
          <w:rFonts w:ascii="Gadugi" w:eastAsia="Gadugi" w:hAnsi="Gadugi" w:cs="Gadugi"/>
          <w:lang w:val="fr-CA" w:bidi="fr-CA"/>
        </w:rPr>
        <w:t>octobre 2022, conformément à l’instruction ministérielle du 8 septembre 2022, dans le cadre de la phase I de la requête en majoration tarifaire générale (RMTG) de la SÉQ pour l’exercice 2022-2023. L'hypothèse d'une moyenne pondérée du prix du combustible de 0,96 $/L</w:t>
      </w:r>
      <w:r w:rsidR="00F94481" w:rsidRPr="00D6423D">
        <w:rPr>
          <w:rStyle w:val="FootnoteReference"/>
          <w:rFonts w:ascii="Gadugi" w:eastAsia="Gadugi" w:hAnsi="Gadugi" w:cs="Gadugi"/>
          <w:b/>
          <w:sz w:val="20"/>
          <w:lang w:val="fr-CA" w:bidi="fr-CA"/>
        </w:rPr>
        <w:footnoteReference w:id="1"/>
      </w:r>
      <w:r>
        <w:rPr>
          <w:rFonts w:ascii="Gadugi" w:eastAsia="Gadugi" w:hAnsi="Gadugi" w:cs="Gadugi"/>
          <w:lang w:val="fr-CA" w:bidi="fr-CA"/>
        </w:rPr>
        <w:t xml:space="preserve"> (moyenne pondérée pour toutes les localités) intégrée dans les tarifs de base actuels correspond à la prévision des stocks de combustible et à la combinaison des prix du combustible en vrac et du combustible en valeur nominale, et sont compatibles avec les résultats d'exploitation antérieurs de la SÉQ. Les prix du combustible en vrac pour l'été 2022 étaient établis sur la base des renseignements fournis par le DPP et les prix en valeur nominale prévus pour 2022-2023 reposaient sur les ajustements réels des prix de détail du combustible annoncés par le GN et en vigueur en date du 6 février 2022.</w:t>
      </w:r>
    </w:p>
    <w:p w14:paraId="024D90FD" w14:textId="67078798" w:rsidR="003C51FD" w:rsidRDefault="003C51FD" w:rsidP="00FF2984">
      <w:pPr>
        <w:pStyle w:val="BodyText"/>
        <w:numPr>
          <w:ilvl w:val="0"/>
          <w:numId w:val="4"/>
        </w:numPr>
        <w:spacing w:after="120" w:line="360" w:lineRule="auto"/>
        <w:ind w:left="907" w:hanging="547"/>
        <w:jc w:val="both"/>
      </w:pPr>
      <w:r>
        <w:rPr>
          <w:rFonts w:ascii="Gadugi" w:eastAsia="Gadugi" w:hAnsi="Gadugi" w:cs="Gadugi"/>
          <w:lang w:val="fr-CA" w:bidi="fr-CA"/>
        </w:rPr>
        <w:t>Une instruction ministérielle datée du 30 mai 2014 exige que la SÉQ prépare une prévision sur le solde du Fonds de SPC qui cumule la différence entre le cout réel du combustible et la moyenne pondérée des prévisions de prix du combustible dans la RMTG. Sur instruction du ministre, la SÉQ doit faire une demande de supplément de stabilisation du cout du combustible chaque fois qu’il est prévu que le solde du Fonds de SPC dépassera le seuil de plus ou moins un million $ sur une période de six mois.</w:t>
      </w:r>
    </w:p>
    <w:p w14:paraId="0206F1EB" w14:textId="67B42DFC" w:rsidR="00D825DE" w:rsidRDefault="00632157" w:rsidP="00FF2984">
      <w:pPr>
        <w:pStyle w:val="BodyText"/>
        <w:numPr>
          <w:ilvl w:val="0"/>
          <w:numId w:val="4"/>
        </w:numPr>
        <w:spacing w:after="120" w:line="360" w:lineRule="auto"/>
        <w:ind w:left="907" w:right="-14" w:hanging="547"/>
        <w:jc w:val="both"/>
      </w:pPr>
      <w:r>
        <w:rPr>
          <w:rFonts w:ascii="Gadugi" w:eastAsia="Gadugi" w:hAnsi="Gadugi" w:cs="Gadugi"/>
          <w:lang w:val="fr-CA" w:bidi="fr-CA"/>
        </w:rPr>
        <w:t>Le supplément sur le TSPC de 7,33 cents le kWh était en vigueur du 1</w:t>
      </w:r>
      <w:r>
        <w:rPr>
          <w:rFonts w:ascii="Gadugi" w:eastAsia="Gadugi" w:hAnsi="Gadugi" w:cs="Gadugi"/>
          <w:vertAlign w:val="superscript"/>
          <w:lang w:val="fr-CA" w:bidi="fr-CA"/>
        </w:rPr>
        <w:t>er </w:t>
      </w:r>
      <w:r>
        <w:rPr>
          <w:rFonts w:ascii="Gadugi" w:eastAsia="Gadugi" w:hAnsi="Gadugi" w:cs="Gadugi"/>
          <w:lang w:val="fr-CA" w:bidi="fr-CA"/>
        </w:rPr>
        <w:t xml:space="preserve">avril 2023 au 30 septembre 2023. Le rapprochement du cout du combustible déposé dans le cadre de la demande compare la moyenne du cout prévu dans la RMTG </w:t>
      </w:r>
      <w:r>
        <w:rPr>
          <w:rFonts w:ascii="Gadugi" w:eastAsia="Gadugi" w:hAnsi="Gadugi" w:cs="Gadugi"/>
          <w:lang w:val="fr-CA" w:bidi="fr-CA"/>
        </w:rPr>
        <w:lastRenderedPageBreak/>
        <w:t>de 0,96 $/L au cout actuel à ce jour et au cout prévu pour la période du 1</w:t>
      </w:r>
      <w:r>
        <w:rPr>
          <w:rFonts w:ascii="Gadugi" w:eastAsia="Gadugi" w:hAnsi="Gadugi" w:cs="Gadugi"/>
          <w:vertAlign w:val="superscript"/>
          <w:lang w:val="fr-CA" w:bidi="fr-CA"/>
        </w:rPr>
        <w:t>er</w:t>
      </w:r>
      <w:r>
        <w:rPr>
          <w:rFonts w:ascii="Gadugi" w:eastAsia="Gadugi" w:hAnsi="Gadugi" w:cs="Gadugi"/>
          <w:lang w:val="fr-CA" w:bidi="fr-CA"/>
        </w:rPr>
        <w:t xml:space="preserve"> octobre 2023 au 31 mars 2024. D’après le rapprochement du cout du combustible, la SÉQ prévoit un solde à verser à la SÉQ de l’ordre de 7,97 million $ en date du 31 mars 2024.</w:t>
      </w:r>
    </w:p>
    <w:p w14:paraId="32E4CF18" w14:textId="7061CAA0" w:rsidR="00EB459A" w:rsidRDefault="00BF7AB7" w:rsidP="00FF2984">
      <w:pPr>
        <w:pStyle w:val="BodyText"/>
        <w:numPr>
          <w:ilvl w:val="0"/>
          <w:numId w:val="4"/>
        </w:numPr>
        <w:spacing w:after="120" w:line="360" w:lineRule="auto"/>
        <w:ind w:left="907" w:right="-14" w:hanging="547"/>
        <w:jc w:val="both"/>
      </w:pPr>
      <w:r>
        <w:rPr>
          <w:rFonts w:ascii="Gadugi" w:eastAsia="Gadugi" w:hAnsi="Gadugi" w:cs="Gadugi"/>
          <w:lang w:val="fr-CA" w:bidi="fr-CA"/>
        </w:rPr>
        <w:t>Tel qu’indiqué dans la demande, la SÉQ souhaite obtenir l’approbation d’une augmentation de 9,4 % des tarifs d’électricité de base plutôt qu’un supplément de 7,02 cents du kWh sur le TSPC entrant en vigueur au 1</w:t>
      </w:r>
      <w:r>
        <w:rPr>
          <w:rFonts w:ascii="Gadugi" w:eastAsia="Gadugi" w:hAnsi="Gadugi" w:cs="Gadugi"/>
          <w:vertAlign w:val="superscript"/>
          <w:lang w:val="fr-CA" w:bidi="fr-CA"/>
        </w:rPr>
        <w:t>er </w:t>
      </w:r>
      <w:r>
        <w:rPr>
          <w:rFonts w:ascii="Gadugi" w:eastAsia="Gadugi" w:hAnsi="Gadugi" w:cs="Gadugi"/>
          <w:lang w:val="fr-CA" w:bidi="fr-CA"/>
        </w:rPr>
        <w:t>octobre 2023.</w:t>
      </w:r>
    </w:p>
    <w:p w14:paraId="35A3838F" w14:textId="798C7EE4" w:rsidR="00EB459A" w:rsidRDefault="00632157" w:rsidP="00C70E1E">
      <w:pPr>
        <w:pStyle w:val="BodyText"/>
        <w:widowControl/>
        <w:numPr>
          <w:ilvl w:val="0"/>
          <w:numId w:val="4"/>
        </w:numPr>
        <w:spacing w:after="120" w:line="360" w:lineRule="auto"/>
        <w:ind w:left="907" w:right="-14" w:hanging="547"/>
        <w:jc w:val="both"/>
      </w:pPr>
      <w:r>
        <w:rPr>
          <w:rFonts w:ascii="Gadugi" w:eastAsia="Gadugi" w:hAnsi="Gadugi" w:cs="Gadugi"/>
          <w:lang w:val="fr-CA" w:bidi="fr-CA"/>
        </w:rPr>
        <w:t>Le CETES a examiné la demande et, dans une lettre datée du 20 octobre 2023, a recommandé l’approbation d’une augmentation de 9,4 % des tarifs d’électricité de base (conformément aux annexes incluses dans la demande) sur une base provisoire et remboursable, à compter du 1</w:t>
      </w:r>
      <w:r>
        <w:rPr>
          <w:rFonts w:ascii="Gadugi" w:eastAsia="Gadugi" w:hAnsi="Gadugi" w:cs="Gadugi"/>
          <w:vertAlign w:val="superscript"/>
          <w:lang w:val="fr-CA" w:bidi="fr-CA"/>
        </w:rPr>
        <w:t>er</w:t>
      </w:r>
      <w:r>
        <w:rPr>
          <w:rFonts w:ascii="Gadugi" w:eastAsia="Gadugi" w:hAnsi="Gadugi" w:cs="Gadugi"/>
          <w:lang w:val="fr-CA" w:bidi="fr-CA"/>
        </w:rPr>
        <w:t xml:space="preserve"> octobre 2023. Le CETES a déterminé que l’entrée en vigueur des taux provisoires du TSPC était dans l’intérêt supérieur du public et qu’elle s’inscrivait dans le processus de maintien de la stabilisation des tarifs pour tous les clients.</w:t>
      </w:r>
    </w:p>
    <w:p w14:paraId="4EBC99FD" w14:textId="37B61A59" w:rsidR="00997F68" w:rsidRDefault="00632157" w:rsidP="00FF2984">
      <w:pPr>
        <w:pStyle w:val="BodyText"/>
        <w:numPr>
          <w:ilvl w:val="0"/>
          <w:numId w:val="4"/>
        </w:numPr>
        <w:spacing w:after="120" w:line="360" w:lineRule="auto"/>
        <w:ind w:left="907" w:right="-14" w:hanging="547"/>
        <w:jc w:val="both"/>
      </w:pPr>
      <w:r>
        <w:rPr>
          <w:rFonts w:ascii="Gadugi" w:eastAsia="Gadugi" w:hAnsi="Gadugi" w:cs="Gadugi"/>
          <w:lang w:val="fr-CA" w:bidi="fr-CA"/>
        </w:rPr>
        <w:t>Sur recommandation du CETES (résumée ci-dessus), le 24 avril 2023, le ministre responsable du Conseil d’examen a approuvé les tarifs suivants, entrés en vigueur le 1</w:t>
      </w:r>
      <w:r>
        <w:rPr>
          <w:rFonts w:ascii="Gadugi" w:eastAsia="Gadugi" w:hAnsi="Gadugi" w:cs="Gadugi"/>
          <w:vertAlign w:val="superscript"/>
          <w:lang w:val="fr-CA" w:bidi="fr-CA"/>
        </w:rPr>
        <w:t>er</w:t>
      </w:r>
      <w:r>
        <w:rPr>
          <w:rFonts w:ascii="Gadugi" w:eastAsia="Gadugi" w:hAnsi="Gadugi" w:cs="Gadugi"/>
          <w:lang w:val="fr-CA" w:bidi="fr-CA"/>
        </w:rPr>
        <w:t xml:space="preserve"> octobre 2023, sur une base provisoire, conformément au paragraphe 12.1(1) de la </w:t>
      </w:r>
      <w:r>
        <w:rPr>
          <w:rFonts w:ascii="Gadugi" w:eastAsia="Gadugi" w:hAnsi="Gadugi" w:cs="Gadugi"/>
          <w:i/>
          <w:lang w:val="fr-CA" w:bidi="fr-CA"/>
        </w:rPr>
        <w:t>Loi sur le CETES</w:t>
      </w:r>
      <w:r>
        <w:rPr>
          <w:rFonts w:ascii="Gadugi" w:eastAsia="Gadugi" w:hAnsi="Gadugi" w:cs="Gadugi"/>
          <w:lang w:val="fr-CA" w:bidi="fr-CA"/>
        </w:rPr>
        <w:t xml:space="preserve"> qui stipule que :  </w:t>
      </w:r>
    </w:p>
    <w:p w14:paraId="200DD3E0" w14:textId="7600B566" w:rsidR="00EB459A" w:rsidRPr="00E952B9" w:rsidRDefault="00632157" w:rsidP="00E952B9">
      <w:pPr>
        <w:pStyle w:val="BodyText"/>
        <w:spacing w:after="120" w:line="360" w:lineRule="auto"/>
        <w:ind w:left="1260" w:right="720"/>
        <w:jc w:val="both"/>
        <w:rPr>
          <w:sz w:val="22"/>
          <w:szCs w:val="22"/>
        </w:rPr>
      </w:pPr>
      <w:r w:rsidRPr="00E952B9">
        <w:rPr>
          <w:rFonts w:ascii="Gadugi" w:eastAsia="Gadugi" w:hAnsi="Gadugi" w:cs="Gadugi"/>
          <w:sz w:val="22"/>
          <w:lang w:val="fr-CA" w:bidi="fr-CA"/>
        </w:rPr>
        <w:t>Lorsque l’avis du Conseil d’examen est demandé en vertu du paragraphe 12(2), le Conseil d’examen peut recommander l’établissement d’un taux ou d’un tarif temporaire jusqu’à ce que des instructions soient données en vertu de l’article 16, et le ministre responsable du Conseil d’examen peut autoriser l’entreprise de service désignée à établir le taux ou le tarif temporaire recommandé.</w:t>
      </w:r>
    </w:p>
    <w:p w14:paraId="4D85F9B6" w14:textId="77777777" w:rsidR="00EB459A" w:rsidRDefault="00EB459A" w:rsidP="00AE6869">
      <w:pPr>
        <w:pStyle w:val="BodyText"/>
        <w:numPr>
          <w:ilvl w:val="0"/>
          <w:numId w:val="4"/>
        </w:numPr>
        <w:spacing w:line="360" w:lineRule="auto"/>
        <w:ind w:left="426" w:right="496" w:hanging="284"/>
        <w:jc w:val="both"/>
        <w:sectPr w:rsidR="00EB459A" w:rsidSect="00B23850">
          <w:headerReference w:type="default" r:id="rId24"/>
          <w:pgSz w:w="12240" w:h="15840"/>
          <w:pgMar w:top="1440" w:right="1440" w:bottom="720" w:left="1440" w:header="1440" w:footer="792" w:gutter="0"/>
          <w:pgNumType w:start="1"/>
          <w:cols w:space="720"/>
          <w:docGrid w:linePitch="299"/>
        </w:sectPr>
      </w:pPr>
    </w:p>
    <w:p w14:paraId="27C9A3F2" w14:textId="6AA70032" w:rsidR="00EB459A" w:rsidRPr="00664778" w:rsidRDefault="00632157" w:rsidP="00172A40">
      <w:pPr>
        <w:pStyle w:val="URRCHeading1"/>
      </w:pPr>
      <w:bookmarkStart w:id="11" w:name="3.0__Process"/>
      <w:bookmarkStart w:id="12" w:name="_bookmark3"/>
      <w:bookmarkEnd w:id="11"/>
      <w:bookmarkEnd w:id="12"/>
      <w:r w:rsidRPr="00664778">
        <w:rPr>
          <w:rFonts w:ascii="Gadugi" w:eastAsia="Gadugi" w:hAnsi="Gadugi" w:cs="Gadugi"/>
          <w:lang w:val="fr-CA" w:bidi="fr-CA"/>
        </w:rPr>
        <w:lastRenderedPageBreak/>
        <w:t>PROCESSUS</w:t>
      </w:r>
    </w:p>
    <w:p w14:paraId="7DA332CF" w14:textId="77777777" w:rsidR="00EB459A" w:rsidRPr="00664778" w:rsidRDefault="00EB459A" w:rsidP="00664778"/>
    <w:p w14:paraId="78E11C5E" w14:textId="71A54E6C" w:rsidR="00EB459A" w:rsidRDefault="00632157" w:rsidP="005E0E93">
      <w:pPr>
        <w:pStyle w:val="BodyText"/>
        <w:numPr>
          <w:ilvl w:val="0"/>
          <w:numId w:val="4"/>
        </w:numPr>
        <w:spacing w:line="360" w:lineRule="auto"/>
        <w:ind w:left="900" w:right="496" w:hanging="540"/>
        <w:jc w:val="both"/>
      </w:pPr>
      <w:r>
        <w:rPr>
          <w:rFonts w:ascii="Gadugi" w:eastAsia="Gadugi" w:hAnsi="Gadugi" w:cs="Gadugi"/>
          <w:lang w:val="fr-CA" w:bidi="fr-CA"/>
        </w:rPr>
        <w:t xml:space="preserve">Le paragraphe 13(1.1) de la </w:t>
      </w:r>
      <w:r>
        <w:rPr>
          <w:rFonts w:ascii="Gadugi" w:eastAsia="Gadugi" w:hAnsi="Gadugi" w:cs="Gadugi"/>
          <w:i/>
          <w:lang w:val="fr-CA" w:bidi="fr-CA"/>
        </w:rPr>
        <w:t>Loi sur le CETES</w:t>
      </w:r>
      <w:r>
        <w:rPr>
          <w:rFonts w:ascii="Gadugi" w:eastAsia="Gadugi" w:hAnsi="Gadugi" w:cs="Gadugi"/>
          <w:lang w:val="fr-CA" w:bidi="fr-CA"/>
        </w:rPr>
        <w:t xml:space="preserve"> indique que :</w:t>
      </w:r>
    </w:p>
    <w:p w14:paraId="6F0A3503" w14:textId="0EE24FEC" w:rsidR="00EB459A" w:rsidRPr="00EC7006" w:rsidRDefault="00632157" w:rsidP="00E952B9">
      <w:pPr>
        <w:pStyle w:val="BodyText"/>
        <w:spacing w:before="120" w:after="240" w:line="360" w:lineRule="auto"/>
        <w:ind w:left="1260" w:right="720"/>
        <w:jc w:val="both"/>
        <w:rPr>
          <w:sz w:val="22"/>
          <w:szCs w:val="22"/>
        </w:rPr>
      </w:pPr>
      <w:r w:rsidRPr="00EC7006">
        <w:rPr>
          <w:rFonts w:ascii="Gadugi" w:eastAsia="Gadugi" w:hAnsi="Gadugi" w:cs="Gadugi"/>
          <w:sz w:val="22"/>
          <w:lang w:val="fr-CA" w:bidi="fr-CA"/>
        </w:rPr>
        <w:t>Lorsque, de l’avis du Conseil d’examen, la demande d’approbation d’un taux ou d’un tarif proposé est peu importante, le Conseil d’examen remet au ministre responsable un rapport au plus tard 90 jours après avoir reçu du ministre la demande d’avis visée au paragraphe 12(2).</w:t>
      </w:r>
    </w:p>
    <w:p w14:paraId="2E1256F2" w14:textId="5ABF9825" w:rsidR="00EB459A" w:rsidRDefault="00632157" w:rsidP="0034715B">
      <w:pPr>
        <w:pStyle w:val="BodyText"/>
        <w:numPr>
          <w:ilvl w:val="0"/>
          <w:numId w:val="4"/>
        </w:numPr>
        <w:spacing w:after="120" w:line="360" w:lineRule="auto"/>
        <w:ind w:left="907" w:hanging="547"/>
        <w:jc w:val="both"/>
      </w:pPr>
      <w:r>
        <w:rPr>
          <w:rFonts w:ascii="Gadugi" w:eastAsia="Gadugi" w:hAnsi="Gadugi" w:cs="Gadugi"/>
          <w:lang w:val="fr-CA" w:bidi="fr-CA"/>
        </w:rPr>
        <w:t>Après l’examen de la demande, le CETES a choisi de la traiter comme une demande peu importante.</w:t>
      </w:r>
    </w:p>
    <w:p w14:paraId="26668A76" w14:textId="75FE49A0" w:rsidR="0008498A" w:rsidRDefault="00CC00CF" w:rsidP="0034715B">
      <w:pPr>
        <w:pStyle w:val="BodyText"/>
        <w:numPr>
          <w:ilvl w:val="0"/>
          <w:numId w:val="4"/>
        </w:numPr>
        <w:spacing w:after="120" w:line="360" w:lineRule="auto"/>
        <w:ind w:left="907" w:hanging="547"/>
        <w:jc w:val="both"/>
      </w:pPr>
      <w:r>
        <w:rPr>
          <w:rFonts w:ascii="Gadugi" w:eastAsia="Gadugi" w:hAnsi="Gadugi" w:cs="Gadugi"/>
          <w:lang w:val="fr-CA" w:bidi="fr-CA"/>
        </w:rPr>
        <w:t xml:space="preserve">Le CETES a communiqué la demande par le truchement des services d'Ayaya, qui ont distribué des annonces dans tout le Nunavut, dans Nunatsiaq news et en ligne, ainsi que par des lettres adressées aux élus et aux agents administratifs principaux. </w:t>
      </w:r>
    </w:p>
    <w:p w14:paraId="48647205" w14:textId="6266010D" w:rsidR="0008498A" w:rsidRDefault="0008498A" w:rsidP="0034715B">
      <w:pPr>
        <w:pStyle w:val="BodyText"/>
        <w:numPr>
          <w:ilvl w:val="0"/>
          <w:numId w:val="4"/>
        </w:numPr>
        <w:spacing w:after="120" w:line="360" w:lineRule="auto"/>
        <w:ind w:left="907" w:hanging="547"/>
        <w:jc w:val="both"/>
      </w:pPr>
      <w:r>
        <w:rPr>
          <w:rFonts w:ascii="Gadugi" w:eastAsia="Gadugi" w:hAnsi="Gadugi" w:cs="Gadugi"/>
          <w:lang w:val="fr-CA" w:bidi="fr-CA"/>
        </w:rPr>
        <w:t>Le CETES a également donné au public l’occasion de présenter des commentaires écrits au sujet de la demande avant l’échéance du 24 novembre 2023. Un commentaire écrit a été soumis par un membre du public le 12 novembre 2023. La SÉQ a répondu au commentaire le 28 novembre 2023.</w:t>
      </w:r>
    </w:p>
    <w:p w14:paraId="00B75700" w14:textId="2879B57A" w:rsidR="00EB459A" w:rsidRDefault="00632157" w:rsidP="0034715B">
      <w:pPr>
        <w:pStyle w:val="BodyText"/>
        <w:numPr>
          <w:ilvl w:val="0"/>
          <w:numId w:val="4"/>
        </w:numPr>
        <w:spacing w:after="120" w:line="360" w:lineRule="auto"/>
        <w:ind w:left="907" w:hanging="547"/>
        <w:jc w:val="both"/>
      </w:pPr>
      <w:r>
        <w:rPr>
          <w:rFonts w:ascii="Gadugi" w:eastAsia="Gadugi" w:hAnsi="Gadugi" w:cs="Gadugi"/>
          <w:lang w:val="fr-CA" w:bidi="fr-CA"/>
        </w:rPr>
        <w:t>Le CETES a passé en revue la demande et établi que de l’information additionnelle était requise. Des demandes d’information ont été faites à la SÉQ le 6 novembre 2023 et la SÉQ a fourni ses réponses le 20 novembre 2023.</w:t>
      </w:r>
    </w:p>
    <w:p w14:paraId="25D86BDB" w14:textId="7385A1AE"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fr-CA" w:bidi="fr-CA"/>
        </w:rPr>
        <w:t>Le présent rapport fait état des résultats de l’examen de ce dossier effectué par le CETES.</w:t>
      </w:r>
    </w:p>
    <w:p w14:paraId="7AAE84AA" w14:textId="77777777" w:rsidR="00EB459A" w:rsidRDefault="00EB459A" w:rsidP="00AE6869">
      <w:pPr>
        <w:pStyle w:val="BodyText"/>
        <w:numPr>
          <w:ilvl w:val="0"/>
          <w:numId w:val="4"/>
        </w:numPr>
        <w:spacing w:line="360" w:lineRule="auto"/>
        <w:ind w:left="426" w:right="496" w:hanging="284"/>
        <w:jc w:val="both"/>
        <w:sectPr w:rsidR="00EB459A" w:rsidSect="00B23850">
          <w:headerReference w:type="default" r:id="rId25"/>
          <w:pgSz w:w="12240" w:h="15840"/>
          <w:pgMar w:top="1440" w:right="1440" w:bottom="720" w:left="1440" w:header="1440" w:footer="792" w:gutter="0"/>
          <w:cols w:space="720"/>
          <w:docGrid w:linePitch="299"/>
        </w:sectPr>
      </w:pPr>
    </w:p>
    <w:p w14:paraId="1424569F" w14:textId="77777777" w:rsidR="00EB459A" w:rsidRPr="00664778" w:rsidRDefault="00632157" w:rsidP="00664778">
      <w:pPr>
        <w:pStyle w:val="URRCHeading1"/>
      </w:pPr>
      <w:bookmarkStart w:id="13" w:name="4.0__Consideration_of_the_Application"/>
      <w:bookmarkStart w:id="14" w:name="_bookmark4"/>
      <w:bookmarkEnd w:id="13"/>
      <w:bookmarkEnd w:id="14"/>
      <w:r w:rsidRPr="00664778">
        <w:rPr>
          <w:rFonts w:ascii="Gadugi" w:eastAsia="Gadugi" w:hAnsi="Gadugi" w:cs="Gadugi"/>
          <w:lang w:val="fr-CA" w:bidi="fr-CA"/>
        </w:rPr>
        <w:lastRenderedPageBreak/>
        <w:t>EXAMEN DE LA DEMANDE</w:t>
      </w:r>
    </w:p>
    <w:p w14:paraId="511BE05C" w14:textId="77777777" w:rsidR="00EB459A" w:rsidRPr="005E0E93" w:rsidRDefault="00EB459A">
      <w:pPr>
        <w:pStyle w:val="BodyText"/>
      </w:pPr>
    </w:p>
    <w:p w14:paraId="357B1804" w14:textId="48DA1588" w:rsidR="00EB459A" w:rsidRDefault="00632157" w:rsidP="002B0485">
      <w:pPr>
        <w:pStyle w:val="BodyText"/>
        <w:numPr>
          <w:ilvl w:val="0"/>
          <w:numId w:val="4"/>
        </w:numPr>
        <w:spacing w:after="120" w:line="360" w:lineRule="auto"/>
        <w:ind w:left="907" w:hanging="547"/>
        <w:jc w:val="both"/>
      </w:pPr>
      <w:r>
        <w:rPr>
          <w:rFonts w:ascii="Gadugi" w:eastAsia="Gadugi" w:hAnsi="Gadugi" w:cs="Gadugi"/>
          <w:lang w:val="fr-CA" w:bidi="fr-CA"/>
        </w:rPr>
        <w:t>La SÉQ a fourni, dans le cadre de la demande, des annexes modifiées pour la RMTG et des annexes pour les TSPC indiquant quels seraient les effets de la hausse des prix du combustible. Les annexes modifiés de la RMTG reflètent les changements proposés au niveau des exigences de recettes et des taux ou tarifs de 2022-2023. Les annexes résument les soldes mensuels prévus du Fonds de SPC jusqu’au 31 mars 2024 et fournissent les détails des calculs du supplément proposé. D’après la SÉQ, les deux annexes se fondent sur les données et les hypothèses suivantes :</w:t>
      </w:r>
    </w:p>
    <w:p w14:paraId="35002732" w14:textId="62100115" w:rsidR="00EB459A" w:rsidRDefault="00632157" w:rsidP="002B0485">
      <w:pPr>
        <w:pStyle w:val="ListParagraph"/>
        <w:numPr>
          <w:ilvl w:val="2"/>
          <w:numId w:val="2"/>
        </w:numPr>
        <w:spacing w:after="120" w:line="360" w:lineRule="auto"/>
        <w:ind w:left="1620"/>
        <w:jc w:val="both"/>
        <w:rPr>
          <w:sz w:val="24"/>
        </w:rPr>
      </w:pPr>
      <w:r>
        <w:rPr>
          <w:rFonts w:ascii="Gadugi" w:eastAsia="Gadugi" w:hAnsi="Gadugi" w:cs="Gadugi"/>
          <w:sz w:val="24"/>
          <w:lang w:val="fr-CA" w:bidi="fr-CA"/>
        </w:rPr>
        <w:t>Prix du combustible en vrac : Les prévisions relatives à la livraison et au prix du combustible en vrac sont fondées sur les prix actuels pour la saison de réapprovisionnement de 2023. Les prévisions relatives au prix se basent sur des renseignements fournis par la DPP.</w:t>
      </w:r>
    </w:p>
    <w:p w14:paraId="61EC6C13" w14:textId="74B79781" w:rsidR="00EB459A" w:rsidRDefault="00632157" w:rsidP="002B0485">
      <w:pPr>
        <w:pStyle w:val="ListParagraph"/>
        <w:numPr>
          <w:ilvl w:val="2"/>
          <w:numId w:val="2"/>
        </w:numPr>
        <w:spacing w:line="360" w:lineRule="auto"/>
        <w:ind w:left="1620"/>
        <w:jc w:val="both"/>
      </w:pPr>
      <w:r>
        <w:rPr>
          <w:rFonts w:ascii="Gadugi" w:eastAsia="Gadugi" w:hAnsi="Gadugi" w:cs="Gadugi"/>
          <w:sz w:val="24"/>
          <w:lang w:val="fr-CA" w:bidi="fr-CA"/>
        </w:rPr>
        <w:t>Prix du combustible en valeur nominale : Les prix actuels du combustible en valeur nominale ont été utilisés jusqu’en juillet 2023. La SÉQ se procure le combustible à un prix en valeur nominale auprès de tiers sous contrat avec la DPP afin de gérer l’approvisionnement en combustible du Nunavut entre les périodes de ravitaillement de combustible en vrac. Les prix du combustible en valeur nominale à partir d’octobre 2023 sont le reflet des prix du combustible en valeur nominale révisés en vigueur depuis le 1er octobre 2023.</w:t>
      </w:r>
    </w:p>
    <w:p w14:paraId="45FAF69C" w14:textId="1EF03115" w:rsidR="00EB459A" w:rsidRDefault="00632157" w:rsidP="002B0485">
      <w:pPr>
        <w:pStyle w:val="ListParagraph"/>
        <w:numPr>
          <w:ilvl w:val="2"/>
          <w:numId w:val="2"/>
        </w:numPr>
        <w:spacing w:before="137" w:after="120" w:line="360" w:lineRule="auto"/>
        <w:ind w:left="1620"/>
        <w:jc w:val="both"/>
        <w:rPr>
          <w:sz w:val="24"/>
        </w:rPr>
      </w:pPr>
      <w:r>
        <w:rPr>
          <w:rFonts w:ascii="Gadugi" w:eastAsia="Gadugi" w:hAnsi="Gadugi" w:cs="Gadugi"/>
          <w:sz w:val="24"/>
          <w:lang w:val="fr-CA" w:bidi="fr-CA"/>
        </w:rPr>
        <w:t>Réserves de combustible : Les prévisions relatives aux prix du combustible représentent une moyenne pondérée basée sur les réserves de combustible ainsi que sur les livraisons de combustible en vrac et de combustible en valeur nominale.</w:t>
      </w:r>
    </w:p>
    <w:p w14:paraId="47D3931E" w14:textId="2C2FF062" w:rsidR="00EB459A" w:rsidRDefault="00632157" w:rsidP="002B0485">
      <w:pPr>
        <w:pStyle w:val="ListParagraph"/>
        <w:numPr>
          <w:ilvl w:val="2"/>
          <w:numId w:val="2"/>
        </w:numPr>
        <w:ind w:left="1620" w:hanging="347"/>
        <w:jc w:val="both"/>
        <w:rPr>
          <w:sz w:val="24"/>
        </w:rPr>
      </w:pPr>
      <w:r>
        <w:rPr>
          <w:rFonts w:ascii="Gadugi" w:eastAsia="Gadugi" w:hAnsi="Gadugi" w:cs="Gadugi"/>
          <w:sz w:val="24"/>
          <w:lang w:val="fr-CA" w:bidi="fr-CA"/>
        </w:rPr>
        <w:lastRenderedPageBreak/>
        <w:t>Ventes et production : Les plus récentes prévisions de la SÉQ en matière de production et de vente.</w:t>
      </w:r>
    </w:p>
    <w:p w14:paraId="477F3A9A" w14:textId="77777777" w:rsidR="00EB459A" w:rsidRPr="00303C2C" w:rsidRDefault="00EB459A" w:rsidP="002B0485">
      <w:pPr>
        <w:pStyle w:val="BodyText"/>
        <w:jc w:val="both"/>
      </w:pPr>
    </w:p>
    <w:p w14:paraId="76F7FF8E" w14:textId="11F7536E" w:rsidR="00EB459A" w:rsidRDefault="00632157" w:rsidP="002B0485">
      <w:pPr>
        <w:pStyle w:val="BodyText"/>
        <w:numPr>
          <w:ilvl w:val="0"/>
          <w:numId w:val="4"/>
        </w:numPr>
        <w:spacing w:after="120" w:line="360" w:lineRule="auto"/>
        <w:ind w:left="907" w:hanging="547"/>
        <w:jc w:val="both"/>
      </w:pPr>
      <w:r>
        <w:rPr>
          <w:rFonts w:ascii="Gadugi" w:eastAsia="Gadugi" w:hAnsi="Gadugi" w:cs="Gadugi"/>
          <w:lang w:val="fr-CA" w:bidi="fr-CA"/>
        </w:rPr>
        <w:t>La SÉQ a fait savoir que l'augmentation des prix prévus pour le combustible annoncée par le GN, y compris la hausse supplémentaire de 0,05 $/L en date du 1</w:t>
      </w:r>
      <w:r>
        <w:rPr>
          <w:rFonts w:ascii="Gadugi" w:eastAsia="Gadugi" w:hAnsi="Gadugi" w:cs="Gadugi"/>
          <w:vertAlign w:val="superscript"/>
          <w:lang w:val="fr-CA" w:bidi="fr-CA"/>
        </w:rPr>
        <w:t>er </w:t>
      </w:r>
      <w:r>
        <w:rPr>
          <w:rFonts w:ascii="Gadugi" w:eastAsia="Gadugi" w:hAnsi="Gadugi" w:cs="Gadugi"/>
          <w:lang w:val="fr-CA" w:bidi="fr-CA"/>
        </w:rPr>
        <w:t>octobre 2023, entrainerait une hausse du solde prévu du fonds de SPC payable à la SÉQ qui serait alors de 7,97 millions $ et ce, à compter du 31 mars 2024. Cela s'explique principalement par une augmentation de plus de 20 % des prix de combustible en valeur nominale actuels et prévus par rapport aux prix prévus dans le cadre de la RMTG pour 2022-2023.</w:t>
      </w:r>
    </w:p>
    <w:p w14:paraId="2BB369A6" w14:textId="4737698E" w:rsidR="004F561C" w:rsidRDefault="00632157" w:rsidP="004F561C">
      <w:pPr>
        <w:pStyle w:val="BodyText"/>
        <w:numPr>
          <w:ilvl w:val="0"/>
          <w:numId w:val="4"/>
        </w:numPr>
        <w:spacing w:after="120" w:line="360" w:lineRule="auto"/>
        <w:ind w:left="907" w:hanging="547"/>
        <w:jc w:val="both"/>
      </w:pPr>
      <w:r>
        <w:rPr>
          <w:rFonts w:ascii="Gadugi" w:eastAsia="Gadugi" w:hAnsi="Gadugi" w:cs="Gadugi"/>
          <w:lang w:val="fr-CA" w:bidi="fr-CA"/>
        </w:rPr>
        <w:t>Le CETES a examiné les deux annexes présentées par la SÉQ dans sa demande et estime que les méthodes et calculs appliqués sont appropriés et conformes aux pratiques antérieures. Le CETES note également que la demande reflète un ajustement lié aux augmentations du prix du combustible depuis l’approbation de la RMTG pour 2022-2023, et au supplément du TSPC approuvé pour la période du 1</w:t>
      </w:r>
      <w:r>
        <w:rPr>
          <w:rFonts w:ascii="Gadugi" w:eastAsia="Gadugi" w:hAnsi="Gadugi" w:cs="Gadugi"/>
          <w:vertAlign w:val="superscript"/>
          <w:lang w:val="fr-CA" w:bidi="fr-CA"/>
        </w:rPr>
        <w:t>er </w:t>
      </w:r>
      <w:r>
        <w:rPr>
          <w:rFonts w:ascii="Gadugi" w:eastAsia="Gadugi" w:hAnsi="Gadugi" w:cs="Gadugi"/>
          <w:lang w:val="fr-CA" w:bidi="fr-CA"/>
        </w:rPr>
        <w:t xml:space="preserve">avril au 30 septembre 2023. </w:t>
      </w:r>
    </w:p>
    <w:p w14:paraId="67F35432" w14:textId="5FAB5F85" w:rsidR="00BF4336" w:rsidRDefault="004F561C" w:rsidP="00F20960">
      <w:pPr>
        <w:pStyle w:val="BodyText"/>
        <w:widowControl/>
        <w:numPr>
          <w:ilvl w:val="0"/>
          <w:numId w:val="4"/>
        </w:numPr>
        <w:spacing w:after="120" w:line="360" w:lineRule="auto"/>
        <w:ind w:left="907" w:hanging="547"/>
        <w:jc w:val="both"/>
      </w:pPr>
      <w:r>
        <w:rPr>
          <w:rFonts w:ascii="Gadugi" w:eastAsia="Gadugi" w:hAnsi="Gadugi" w:cs="Gadugi"/>
          <w:lang w:val="fr-CA" w:bidi="fr-CA"/>
        </w:rPr>
        <w:t>Le CETES constate que la SÉQ a fourni des informations sur l'impact tarifaire de l'augmentation proposée des tarifs d’électricité de base par rapport à celui d'un nouveau supplément sur les TSPC. Le tableau ci-dessous montre à la ligne E que le tarif résidentiel non gouvernemental sera légèrement inférieur et que le tarif résidentiel gouvernemental sera légèrement supérieur.</w:t>
      </w:r>
    </w:p>
    <w:p w14:paraId="797770B5" w14:textId="1500AE5E" w:rsidR="00BF4336" w:rsidRPr="00396F89" w:rsidRDefault="00BF4336" w:rsidP="002B0485">
      <w:pPr>
        <w:widowControl/>
        <w:kinsoku w:val="0"/>
        <w:overflowPunct w:val="0"/>
        <w:adjustRightInd w:val="0"/>
        <w:spacing w:before="202" w:after="120"/>
        <w:ind w:left="360"/>
        <w:rPr>
          <w:rFonts w:ascii="Arial Narrow" w:eastAsiaTheme="minorHAnsi" w:hAnsi="Arial Narrow" w:cs="Arial"/>
          <w:b/>
          <w:bCs/>
          <w:color w:val="0E101A"/>
          <w:lang w:val="en-US" w:eastAsia="en-US" w:bidi="ar-SA"/>
        </w:rPr>
      </w:pPr>
      <w:r w:rsidRPr="00396F89">
        <w:rPr>
          <w:rFonts w:ascii="Gadugi" w:eastAsia="Gadugi" w:hAnsi="Gadugi" w:cs="Gadugi"/>
          <w:b/>
          <w:color w:val="0E101A"/>
          <w:lang w:val="fr-CA" w:bidi="fr-CA"/>
        </w:rPr>
        <w:t>Changements aux tarifs d’électricité</w:t>
      </w:r>
    </w:p>
    <w:tbl>
      <w:tblPr>
        <w:tblW w:w="8370" w:type="dxa"/>
        <w:jc w:val="center"/>
        <w:tblLayout w:type="fixed"/>
        <w:tblCellMar>
          <w:left w:w="0" w:type="dxa"/>
          <w:right w:w="0" w:type="dxa"/>
        </w:tblCellMar>
        <w:tblLook w:val="0000" w:firstRow="0" w:lastRow="0" w:firstColumn="0" w:lastColumn="0" w:noHBand="0" w:noVBand="0"/>
      </w:tblPr>
      <w:tblGrid>
        <w:gridCol w:w="540"/>
        <w:gridCol w:w="4050"/>
        <w:gridCol w:w="1980"/>
        <w:gridCol w:w="1800"/>
      </w:tblGrid>
      <w:tr w:rsidR="00BF4336" w:rsidRPr="00396F89" w14:paraId="25686820" w14:textId="77777777" w:rsidTr="002B0485">
        <w:trPr>
          <w:trHeight w:val="656"/>
          <w:jc w:val="center"/>
        </w:trPr>
        <w:tc>
          <w:tcPr>
            <w:tcW w:w="540" w:type="dxa"/>
            <w:tcBorders>
              <w:top w:val="single" w:sz="4" w:space="0" w:color="000000"/>
              <w:left w:val="single" w:sz="4" w:space="0" w:color="000000"/>
              <w:bottom w:val="single" w:sz="4" w:space="0" w:color="auto"/>
              <w:right w:val="single" w:sz="4" w:space="0" w:color="000000"/>
            </w:tcBorders>
          </w:tcPr>
          <w:p w14:paraId="0879EB54" w14:textId="77777777" w:rsidR="00BF4336" w:rsidRPr="00396F89" w:rsidRDefault="00BF4336" w:rsidP="00BF4336">
            <w:pPr>
              <w:widowControl/>
              <w:kinsoku w:val="0"/>
              <w:overflowPunct w:val="0"/>
              <w:adjustRightInd w:val="0"/>
              <w:rPr>
                <w:rFonts w:ascii="Arial Narrow" w:eastAsiaTheme="minorHAnsi" w:hAnsi="Arial Narrow" w:cs="Arial"/>
                <w:b/>
                <w:bCs/>
                <w:sz w:val="20"/>
                <w:szCs w:val="20"/>
                <w:lang w:val="en-US" w:eastAsia="en-US" w:bidi="ar-SA"/>
              </w:rPr>
            </w:pPr>
          </w:p>
          <w:p w14:paraId="4845A88B" w14:textId="77777777" w:rsidR="00BF4336" w:rsidRPr="00396F89" w:rsidRDefault="00BF4336" w:rsidP="0016772D">
            <w:pPr>
              <w:widowControl/>
              <w:kinsoku w:val="0"/>
              <w:overflowPunct w:val="0"/>
              <w:adjustRightInd w:val="0"/>
              <w:spacing w:line="232" w:lineRule="exact"/>
              <w:ind w:right="87"/>
              <w:jc w:val="center"/>
              <w:rPr>
                <w:rFonts w:ascii="Arial Narrow" w:eastAsiaTheme="minorHAnsi" w:hAnsi="Arial Narrow" w:cs="Arial"/>
                <w:b/>
                <w:bCs/>
                <w:color w:val="0E101A"/>
                <w:spacing w:val="-4"/>
                <w:sz w:val="20"/>
                <w:szCs w:val="20"/>
                <w:lang w:val="en-US" w:eastAsia="en-US" w:bidi="ar-SA"/>
              </w:rPr>
            </w:pPr>
            <w:r w:rsidRPr="00396F89">
              <w:rPr>
                <w:rFonts w:ascii="Gadugi" w:eastAsia="Gadugi" w:hAnsi="Gadugi" w:cs="Gadugi"/>
                <w:b/>
                <w:color w:val="0E101A"/>
                <w:spacing w:val="-4"/>
                <w:sz w:val="20"/>
                <w:lang w:val="fr-CA" w:bidi="fr-CA"/>
              </w:rPr>
              <w:t>Ligne</w:t>
            </w:r>
          </w:p>
        </w:tc>
        <w:tc>
          <w:tcPr>
            <w:tcW w:w="4050" w:type="dxa"/>
            <w:tcBorders>
              <w:top w:val="single" w:sz="4" w:space="0" w:color="000000"/>
              <w:left w:val="single" w:sz="4" w:space="0" w:color="000000"/>
              <w:bottom w:val="single" w:sz="4" w:space="0" w:color="auto"/>
              <w:right w:val="single" w:sz="4" w:space="0" w:color="000000"/>
            </w:tcBorders>
          </w:tcPr>
          <w:p w14:paraId="335FAAB9" w14:textId="77777777" w:rsidR="00BF4336" w:rsidRPr="00396F89" w:rsidRDefault="00BF4336" w:rsidP="00BF4336">
            <w:pPr>
              <w:widowControl/>
              <w:kinsoku w:val="0"/>
              <w:overflowPunct w:val="0"/>
              <w:adjustRightInd w:val="0"/>
              <w:rPr>
                <w:rFonts w:ascii="Arial Narrow" w:eastAsiaTheme="minorHAnsi" w:hAnsi="Arial Narrow"/>
                <w:sz w:val="20"/>
                <w:szCs w:val="20"/>
                <w:lang w:val="en-US" w:eastAsia="en-US" w:bidi="ar-SA"/>
              </w:rPr>
            </w:pPr>
          </w:p>
        </w:tc>
        <w:tc>
          <w:tcPr>
            <w:tcW w:w="1980" w:type="dxa"/>
            <w:tcBorders>
              <w:top w:val="single" w:sz="4" w:space="0" w:color="000000"/>
              <w:left w:val="single" w:sz="4" w:space="0" w:color="000000"/>
              <w:bottom w:val="single" w:sz="4" w:space="0" w:color="auto"/>
              <w:right w:val="single" w:sz="4" w:space="0" w:color="000000"/>
            </w:tcBorders>
          </w:tcPr>
          <w:p w14:paraId="49201758" w14:textId="33B24E3D" w:rsidR="00BF4336" w:rsidRPr="00396F89" w:rsidRDefault="00BF4336" w:rsidP="00124258">
            <w:pPr>
              <w:widowControl/>
              <w:kinsoku w:val="0"/>
              <w:overflowPunct w:val="0"/>
              <w:adjustRightInd w:val="0"/>
              <w:ind w:left="331" w:right="317"/>
              <w:jc w:val="center"/>
              <w:rPr>
                <w:rFonts w:ascii="Arial Narrow" w:eastAsiaTheme="minorHAnsi" w:hAnsi="Arial Narrow" w:cs="Arial"/>
                <w:b/>
                <w:bCs/>
                <w:color w:val="0E101A"/>
                <w:spacing w:val="-2"/>
                <w:sz w:val="20"/>
                <w:szCs w:val="20"/>
                <w:lang w:val="en-US" w:eastAsia="en-US" w:bidi="ar-SA"/>
              </w:rPr>
            </w:pPr>
            <w:r w:rsidRPr="00396F89">
              <w:rPr>
                <w:rFonts w:ascii="Gadugi" w:eastAsia="Gadugi" w:hAnsi="Gadugi" w:cs="Gadugi"/>
                <w:b/>
                <w:color w:val="0E101A"/>
                <w:spacing w:val="-2"/>
                <w:sz w:val="20"/>
                <w:lang w:val="fr-CA" w:bidi="fr-CA"/>
              </w:rPr>
              <w:t xml:space="preserve">Tarif résidentiel  </w:t>
            </w:r>
            <w:r w:rsidRPr="00396F89">
              <w:rPr>
                <w:rFonts w:ascii="Gadugi" w:eastAsia="Gadugi" w:hAnsi="Gadugi" w:cs="Gadugi"/>
                <w:b/>
                <w:color w:val="0E101A"/>
                <w:spacing w:val="-2"/>
                <w:sz w:val="20"/>
                <w:lang w:val="fr-CA" w:bidi="fr-CA"/>
              </w:rPr>
              <w:br/>
              <w:t>non gouvernemental</w:t>
            </w:r>
          </w:p>
        </w:tc>
        <w:tc>
          <w:tcPr>
            <w:tcW w:w="1800" w:type="dxa"/>
            <w:tcBorders>
              <w:top w:val="single" w:sz="4" w:space="0" w:color="000000"/>
              <w:left w:val="single" w:sz="4" w:space="0" w:color="000000"/>
              <w:bottom w:val="single" w:sz="4" w:space="0" w:color="auto"/>
              <w:right w:val="single" w:sz="4" w:space="0" w:color="000000"/>
            </w:tcBorders>
          </w:tcPr>
          <w:p w14:paraId="6A98EBED" w14:textId="77777777" w:rsidR="00124258" w:rsidRDefault="00124258" w:rsidP="00124258">
            <w:pPr>
              <w:widowControl/>
              <w:kinsoku w:val="0"/>
              <w:overflowPunct w:val="0"/>
              <w:adjustRightInd w:val="0"/>
              <w:jc w:val="center"/>
              <w:rPr>
                <w:rFonts w:ascii="Arial Narrow" w:eastAsiaTheme="minorHAnsi" w:hAnsi="Arial Narrow" w:cs="Arial"/>
                <w:b/>
                <w:bCs/>
                <w:color w:val="0E101A"/>
                <w:spacing w:val="-2"/>
                <w:sz w:val="20"/>
                <w:szCs w:val="20"/>
                <w:lang w:val="en-US" w:eastAsia="en-US" w:bidi="ar-SA"/>
              </w:rPr>
            </w:pPr>
          </w:p>
          <w:p w14:paraId="16325EB8" w14:textId="32A63AC3" w:rsidR="00BF4336" w:rsidRPr="00396F89" w:rsidRDefault="00BF4336" w:rsidP="00124258">
            <w:pPr>
              <w:widowControl/>
              <w:kinsoku w:val="0"/>
              <w:overflowPunct w:val="0"/>
              <w:adjustRightInd w:val="0"/>
              <w:jc w:val="center"/>
              <w:rPr>
                <w:rFonts w:ascii="Arial Narrow" w:eastAsiaTheme="minorHAnsi" w:hAnsi="Arial Narrow" w:cs="Arial"/>
                <w:b/>
                <w:bCs/>
                <w:color w:val="0E101A"/>
                <w:spacing w:val="-2"/>
                <w:sz w:val="20"/>
                <w:szCs w:val="20"/>
                <w:lang w:val="en-US" w:eastAsia="en-US" w:bidi="ar-SA"/>
              </w:rPr>
            </w:pPr>
            <w:r w:rsidRPr="00396F89">
              <w:rPr>
                <w:rFonts w:ascii="Gadugi" w:eastAsia="Gadugi" w:hAnsi="Gadugi" w:cs="Gadugi"/>
                <w:b/>
                <w:color w:val="0E101A"/>
                <w:spacing w:val="-2"/>
                <w:sz w:val="20"/>
                <w:lang w:val="fr-CA" w:bidi="fr-CA"/>
              </w:rPr>
              <w:t>Tarif résidentiel gouvernemental</w:t>
            </w:r>
          </w:p>
        </w:tc>
      </w:tr>
      <w:tr w:rsidR="00BF4336" w:rsidRPr="00396F89" w14:paraId="49F1D228" w14:textId="77777777" w:rsidTr="002B0485">
        <w:trPr>
          <w:trHeight w:val="256"/>
          <w:jc w:val="center"/>
        </w:trPr>
        <w:tc>
          <w:tcPr>
            <w:tcW w:w="540" w:type="dxa"/>
            <w:tcBorders>
              <w:top w:val="single" w:sz="4" w:space="0" w:color="auto"/>
              <w:left w:val="single" w:sz="4" w:space="0" w:color="auto"/>
              <w:bottom w:val="single" w:sz="4" w:space="0" w:color="auto"/>
              <w:right w:val="single" w:sz="4" w:space="0" w:color="auto"/>
            </w:tcBorders>
          </w:tcPr>
          <w:p w14:paraId="316F5EB4"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t>A</w:t>
            </w:r>
          </w:p>
        </w:tc>
        <w:tc>
          <w:tcPr>
            <w:tcW w:w="4050" w:type="dxa"/>
            <w:tcBorders>
              <w:top w:val="single" w:sz="4" w:space="0" w:color="auto"/>
              <w:left w:val="single" w:sz="4" w:space="0" w:color="auto"/>
              <w:bottom w:val="single" w:sz="4" w:space="0" w:color="auto"/>
              <w:right w:val="single" w:sz="4" w:space="0" w:color="auto"/>
            </w:tcBorders>
          </w:tcPr>
          <w:p w14:paraId="1890F962" w14:textId="0F408FAE"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t>Tarif d’électricité de base actuel (cents/kWh)</w:t>
            </w:r>
          </w:p>
        </w:tc>
        <w:tc>
          <w:tcPr>
            <w:tcW w:w="1980" w:type="dxa"/>
            <w:tcBorders>
              <w:top w:val="single" w:sz="4" w:space="0" w:color="auto"/>
              <w:left w:val="single" w:sz="4" w:space="0" w:color="auto"/>
              <w:bottom w:val="single" w:sz="4" w:space="0" w:color="auto"/>
              <w:right w:val="single" w:sz="4" w:space="0" w:color="auto"/>
            </w:tcBorders>
          </w:tcPr>
          <w:p w14:paraId="0CBBDDDA"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fr-CA" w:bidi="fr-CA"/>
              </w:rPr>
              <w:t>61,52</w:t>
            </w:r>
          </w:p>
        </w:tc>
        <w:tc>
          <w:tcPr>
            <w:tcW w:w="1800" w:type="dxa"/>
            <w:tcBorders>
              <w:top w:val="single" w:sz="4" w:space="0" w:color="auto"/>
              <w:left w:val="single" w:sz="4" w:space="0" w:color="auto"/>
              <w:bottom w:val="single" w:sz="4" w:space="0" w:color="auto"/>
              <w:right w:val="single" w:sz="4" w:space="0" w:color="auto"/>
            </w:tcBorders>
          </w:tcPr>
          <w:p w14:paraId="1E3A9EFB" w14:textId="77777777" w:rsidR="00BF4336" w:rsidRPr="00396F89" w:rsidRDefault="00BF4336" w:rsidP="00396F89">
            <w:pPr>
              <w:widowControl/>
              <w:kinsoku w:val="0"/>
              <w:overflowPunct w:val="0"/>
              <w:adjustRightInd w:val="0"/>
              <w:ind w:left="551" w:right="544"/>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fr-CA" w:bidi="fr-CA"/>
              </w:rPr>
              <w:t>93,39</w:t>
            </w:r>
          </w:p>
        </w:tc>
      </w:tr>
      <w:tr w:rsidR="00BF4336" w:rsidRPr="00396F89" w14:paraId="2EBE1620" w14:textId="77777777" w:rsidTr="002B0485">
        <w:trPr>
          <w:trHeight w:val="253"/>
          <w:jc w:val="center"/>
        </w:trPr>
        <w:tc>
          <w:tcPr>
            <w:tcW w:w="540" w:type="dxa"/>
            <w:tcBorders>
              <w:top w:val="single" w:sz="4" w:space="0" w:color="auto"/>
              <w:left w:val="single" w:sz="4" w:space="0" w:color="auto"/>
              <w:bottom w:val="single" w:sz="4" w:space="0" w:color="auto"/>
              <w:right w:val="single" w:sz="4" w:space="0" w:color="auto"/>
            </w:tcBorders>
          </w:tcPr>
          <w:p w14:paraId="5D18339A"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t>B</w:t>
            </w:r>
          </w:p>
        </w:tc>
        <w:tc>
          <w:tcPr>
            <w:tcW w:w="4050" w:type="dxa"/>
            <w:tcBorders>
              <w:top w:val="single" w:sz="4" w:space="0" w:color="auto"/>
              <w:left w:val="single" w:sz="4" w:space="0" w:color="auto"/>
              <w:bottom w:val="single" w:sz="4" w:space="0" w:color="auto"/>
              <w:right w:val="single" w:sz="4" w:space="0" w:color="auto"/>
            </w:tcBorders>
          </w:tcPr>
          <w:p w14:paraId="04808A71" w14:textId="5AEB6B69"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t>Supplément de stabilisation du cout du combustible actuel (cents/kWh)</w:t>
            </w:r>
          </w:p>
        </w:tc>
        <w:tc>
          <w:tcPr>
            <w:tcW w:w="1980" w:type="dxa"/>
            <w:tcBorders>
              <w:top w:val="single" w:sz="4" w:space="0" w:color="auto"/>
              <w:left w:val="single" w:sz="4" w:space="0" w:color="auto"/>
              <w:bottom w:val="single" w:sz="4" w:space="0" w:color="auto"/>
              <w:right w:val="single" w:sz="4" w:space="0" w:color="auto"/>
            </w:tcBorders>
          </w:tcPr>
          <w:p w14:paraId="524BCF51" w14:textId="77777777" w:rsidR="00BF4336" w:rsidRPr="00124258"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124258">
              <w:rPr>
                <w:rFonts w:ascii="Gadugi" w:eastAsia="Gadugi" w:hAnsi="Gadugi" w:cs="Gadugi"/>
                <w:color w:val="0E101A"/>
                <w:spacing w:val="-2"/>
                <w:sz w:val="20"/>
                <w:lang w:val="fr-CA" w:bidi="fr-CA"/>
              </w:rPr>
              <w:t>7,33</w:t>
            </w:r>
          </w:p>
        </w:tc>
        <w:tc>
          <w:tcPr>
            <w:tcW w:w="1800" w:type="dxa"/>
            <w:tcBorders>
              <w:top w:val="single" w:sz="4" w:space="0" w:color="auto"/>
              <w:left w:val="single" w:sz="4" w:space="0" w:color="auto"/>
              <w:bottom w:val="single" w:sz="4" w:space="0" w:color="auto"/>
              <w:right w:val="single" w:sz="4" w:space="0" w:color="auto"/>
            </w:tcBorders>
          </w:tcPr>
          <w:p w14:paraId="415D2E18"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4"/>
                <w:sz w:val="20"/>
                <w:szCs w:val="20"/>
                <w:lang w:val="en-US" w:eastAsia="en-US" w:bidi="ar-SA"/>
              </w:rPr>
            </w:pPr>
            <w:r w:rsidRPr="00396F89">
              <w:rPr>
                <w:rFonts w:ascii="Gadugi" w:eastAsia="Gadugi" w:hAnsi="Gadugi" w:cs="Gadugi"/>
                <w:color w:val="0E101A"/>
                <w:spacing w:val="-4"/>
                <w:sz w:val="20"/>
                <w:lang w:val="fr-CA" w:bidi="fr-CA"/>
              </w:rPr>
              <w:t>7,33</w:t>
            </w:r>
          </w:p>
        </w:tc>
      </w:tr>
      <w:tr w:rsidR="00BF4336" w:rsidRPr="00396F89" w14:paraId="171E516A" w14:textId="77777777" w:rsidTr="002B0485">
        <w:trPr>
          <w:trHeight w:val="278"/>
          <w:jc w:val="center"/>
        </w:trPr>
        <w:tc>
          <w:tcPr>
            <w:tcW w:w="540" w:type="dxa"/>
            <w:tcBorders>
              <w:top w:val="single" w:sz="4" w:space="0" w:color="auto"/>
              <w:left w:val="single" w:sz="4" w:space="0" w:color="auto"/>
              <w:bottom w:val="single" w:sz="4" w:space="0" w:color="auto"/>
              <w:right w:val="single" w:sz="4" w:space="0" w:color="auto"/>
            </w:tcBorders>
          </w:tcPr>
          <w:p w14:paraId="4D63A76F" w14:textId="77777777" w:rsidR="00BF4336" w:rsidRPr="00396F89" w:rsidRDefault="00BF4336" w:rsidP="00396F89">
            <w:pPr>
              <w:widowControl/>
              <w:kinsoku w:val="0"/>
              <w:overflowPunct w:val="0"/>
              <w:adjustRightInd w:val="0"/>
              <w:ind w:left="7"/>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lastRenderedPageBreak/>
              <w:t>C</w:t>
            </w:r>
          </w:p>
        </w:tc>
        <w:tc>
          <w:tcPr>
            <w:tcW w:w="4050" w:type="dxa"/>
            <w:tcBorders>
              <w:top w:val="single" w:sz="4" w:space="0" w:color="auto"/>
              <w:left w:val="single" w:sz="4" w:space="0" w:color="auto"/>
              <w:bottom w:val="single" w:sz="4" w:space="0" w:color="auto"/>
              <w:right w:val="single" w:sz="4" w:space="0" w:color="auto"/>
            </w:tcBorders>
          </w:tcPr>
          <w:p w14:paraId="031B370D" w14:textId="77777777"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t>Total (A+B)</w:t>
            </w:r>
          </w:p>
        </w:tc>
        <w:tc>
          <w:tcPr>
            <w:tcW w:w="1980" w:type="dxa"/>
            <w:tcBorders>
              <w:top w:val="single" w:sz="4" w:space="0" w:color="auto"/>
              <w:left w:val="single" w:sz="4" w:space="0" w:color="auto"/>
              <w:bottom w:val="single" w:sz="4" w:space="0" w:color="auto"/>
              <w:right w:val="single" w:sz="4" w:space="0" w:color="auto"/>
            </w:tcBorders>
          </w:tcPr>
          <w:p w14:paraId="461BAC83"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fr-CA" w:bidi="fr-CA"/>
              </w:rPr>
              <w:t>68,85</w:t>
            </w:r>
          </w:p>
        </w:tc>
        <w:tc>
          <w:tcPr>
            <w:tcW w:w="1800" w:type="dxa"/>
            <w:tcBorders>
              <w:top w:val="single" w:sz="4" w:space="0" w:color="auto"/>
              <w:left w:val="single" w:sz="4" w:space="0" w:color="auto"/>
              <w:bottom w:val="single" w:sz="4" w:space="0" w:color="auto"/>
              <w:right w:val="single" w:sz="4" w:space="0" w:color="auto"/>
            </w:tcBorders>
          </w:tcPr>
          <w:p w14:paraId="2EB5FFAD"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fr-CA" w:bidi="fr-CA"/>
              </w:rPr>
              <w:t>100,72</w:t>
            </w:r>
          </w:p>
        </w:tc>
      </w:tr>
      <w:tr w:rsidR="00BF4336" w:rsidRPr="00396F89" w14:paraId="000D9B72" w14:textId="77777777" w:rsidTr="002B0485">
        <w:trPr>
          <w:trHeight w:val="260"/>
          <w:jc w:val="center"/>
        </w:trPr>
        <w:tc>
          <w:tcPr>
            <w:tcW w:w="540" w:type="dxa"/>
            <w:tcBorders>
              <w:top w:val="single" w:sz="4" w:space="0" w:color="auto"/>
              <w:left w:val="single" w:sz="4" w:space="0" w:color="auto"/>
              <w:bottom w:val="single" w:sz="4" w:space="0" w:color="auto"/>
              <w:right w:val="single" w:sz="4" w:space="0" w:color="auto"/>
            </w:tcBorders>
          </w:tcPr>
          <w:p w14:paraId="01260084" w14:textId="77777777" w:rsidR="00BF4336" w:rsidRPr="00396F89" w:rsidRDefault="00BF4336" w:rsidP="00396F89">
            <w:pPr>
              <w:widowControl/>
              <w:kinsoku w:val="0"/>
              <w:overflowPunct w:val="0"/>
              <w:adjustRightInd w:val="0"/>
              <w:ind w:left="7"/>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t>D</w:t>
            </w:r>
          </w:p>
        </w:tc>
        <w:tc>
          <w:tcPr>
            <w:tcW w:w="4050" w:type="dxa"/>
            <w:tcBorders>
              <w:top w:val="single" w:sz="4" w:space="0" w:color="auto"/>
              <w:left w:val="single" w:sz="4" w:space="0" w:color="auto"/>
              <w:bottom w:val="single" w:sz="4" w:space="0" w:color="auto"/>
              <w:right w:val="single" w:sz="4" w:space="0" w:color="auto"/>
            </w:tcBorders>
          </w:tcPr>
          <w:p w14:paraId="29EE737D" w14:textId="2EDD79E1" w:rsidR="00BF4336" w:rsidRPr="00396F89" w:rsidRDefault="00BF4336" w:rsidP="00396F89">
            <w:pPr>
              <w:widowControl/>
              <w:kinsoku w:val="0"/>
              <w:overflowPunct w:val="0"/>
              <w:adjustRightInd w:val="0"/>
              <w:ind w:left="107" w:right="201"/>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t>Tarif d’électricité de base proposé (cents/kWh) (A x 1,094)</w:t>
            </w:r>
          </w:p>
        </w:tc>
        <w:tc>
          <w:tcPr>
            <w:tcW w:w="1980" w:type="dxa"/>
            <w:tcBorders>
              <w:top w:val="single" w:sz="4" w:space="0" w:color="auto"/>
              <w:left w:val="single" w:sz="4" w:space="0" w:color="auto"/>
              <w:bottom w:val="single" w:sz="4" w:space="0" w:color="auto"/>
              <w:right w:val="single" w:sz="4" w:space="0" w:color="auto"/>
            </w:tcBorders>
          </w:tcPr>
          <w:p w14:paraId="3BD14A58"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fr-CA" w:bidi="fr-CA"/>
              </w:rPr>
              <w:t>67,33</w:t>
            </w:r>
          </w:p>
        </w:tc>
        <w:tc>
          <w:tcPr>
            <w:tcW w:w="1800" w:type="dxa"/>
            <w:tcBorders>
              <w:top w:val="single" w:sz="4" w:space="0" w:color="auto"/>
              <w:left w:val="single" w:sz="4" w:space="0" w:color="auto"/>
              <w:bottom w:val="single" w:sz="4" w:space="0" w:color="auto"/>
              <w:right w:val="single" w:sz="4" w:space="0" w:color="auto"/>
            </w:tcBorders>
          </w:tcPr>
          <w:p w14:paraId="671DDF55"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fr-CA" w:bidi="fr-CA"/>
              </w:rPr>
              <w:t>102,21</w:t>
            </w:r>
          </w:p>
        </w:tc>
      </w:tr>
      <w:tr w:rsidR="00BF4336" w:rsidRPr="00396F89" w14:paraId="0125AF4D" w14:textId="77777777" w:rsidTr="002B0485">
        <w:trPr>
          <w:trHeight w:val="260"/>
          <w:jc w:val="center"/>
        </w:trPr>
        <w:tc>
          <w:tcPr>
            <w:tcW w:w="540" w:type="dxa"/>
            <w:tcBorders>
              <w:top w:val="single" w:sz="4" w:space="0" w:color="auto"/>
              <w:left w:val="single" w:sz="4" w:space="0" w:color="auto"/>
              <w:bottom w:val="single" w:sz="4" w:space="0" w:color="auto"/>
              <w:right w:val="single" w:sz="4" w:space="0" w:color="auto"/>
            </w:tcBorders>
          </w:tcPr>
          <w:p w14:paraId="2511168B"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fr-CA" w:bidi="fr-CA"/>
              </w:rPr>
              <w:t>E</w:t>
            </w:r>
          </w:p>
        </w:tc>
        <w:tc>
          <w:tcPr>
            <w:tcW w:w="4050" w:type="dxa"/>
            <w:tcBorders>
              <w:top w:val="single" w:sz="4" w:space="0" w:color="auto"/>
              <w:left w:val="single" w:sz="4" w:space="0" w:color="auto"/>
              <w:bottom w:val="single" w:sz="4" w:space="0" w:color="auto"/>
              <w:right w:val="single" w:sz="4" w:space="0" w:color="auto"/>
            </w:tcBorders>
          </w:tcPr>
          <w:p w14:paraId="1B9A99D5" w14:textId="77777777" w:rsidR="00BF4336" w:rsidRPr="00396F89" w:rsidRDefault="00BF4336" w:rsidP="00396F89">
            <w:pPr>
              <w:widowControl/>
              <w:kinsoku w:val="0"/>
              <w:overflowPunct w:val="0"/>
              <w:adjustRightInd w:val="0"/>
              <w:ind w:left="107"/>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fr-CA" w:bidi="fr-CA"/>
              </w:rPr>
              <w:t>Différence</w:t>
            </w:r>
          </w:p>
        </w:tc>
        <w:tc>
          <w:tcPr>
            <w:tcW w:w="1980" w:type="dxa"/>
            <w:tcBorders>
              <w:top w:val="single" w:sz="4" w:space="0" w:color="auto"/>
              <w:left w:val="single" w:sz="4" w:space="0" w:color="auto"/>
              <w:bottom w:val="single" w:sz="4" w:space="0" w:color="auto"/>
              <w:right w:val="single" w:sz="4" w:space="0" w:color="auto"/>
            </w:tcBorders>
          </w:tcPr>
          <w:p w14:paraId="150C3E7F"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fr-CA" w:bidi="fr-CA"/>
              </w:rPr>
              <w:t>(1,52)</w:t>
            </w:r>
          </w:p>
        </w:tc>
        <w:tc>
          <w:tcPr>
            <w:tcW w:w="1800" w:type="dxa"/>
            <w:tcBorders>
              <w:top w:val="single" w:sz="4" w:space="0" w:color="auto"/>
              <w:left w:val="single" w:sz="4" w:space="0" w:color="auto"/>
              <w:bottom w:val="single" w:sz="4" w:space="0" w:color="auto"/>
              <w:right w:val="single" w:sz="4" w:space="0" w:color="auto"/>
            </w:tcBorders>
          </w:tcPr>
          <w:p w14:paraId="11C657DF"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4"/>
                <w:sz w:val="20"/>
                <w:szCs w:val="20"/>
                <w:lang w:val="en-US" w:eastAsia="en-US" w:bidi="ar-SA"/>
              </w:rPr>
            </w:pPr>
            <w:r w:rsidRPr="00396F89">
              <w:rPr>
                <w:rFonts w:ascii="Gadugi" w:eastAsia="Gadugi" w:hAnsi="Gadugi" w:cs="Gadugi"/>
                <w:color w:val="0E101A"/>
                <w:spacing w:val="-4"/>
                <w:sz w:val="20"/>
                <w:lang w:val="fr-CA" w:bidi="fr-CA"/>
              </w:rPr>
              <w:t>1,49</w:t>
            </w:r>
          </w:p>
        </w:tc>
      </w:tr>
    </w:tbl>
    <w:p w14:paraId="04F66604" w14:textId="77777777" w:rsidR="00BF4336" w:rsidRDefault="00BF4336" w:rsidP="00124258">
      <w:pPr>
        <w:pStyle w:val="BodyText"/>
        <w:spacing w:line="360" w:lineRule="auto"/>
        <w:ind w:left="907"/>
        <w:jc w:val="both"/>
      </w:pPr>
    </w:p>
    <w:p w14:paraId="3BC26ADF" w14:textId="7DAF5936" w:rsidR="00652241" w:rsidRDefault="00E04190" w:rsidP="00303C2C">
      <w:pPr>
        <w:pStyle w:val="BodyText"/>
        <w:numPr>
          <w:ilvl w:val="0"/>
          <w:numId w:val="4"/>
        </w:numPr>
        <w:spacing w:after="120" w:line="360" w:lineRule="auto"/>
        <w:ind w:left="907" w:hanging="547"/>
        <w:jc w:val="both"/>
      </w:pPr>
      <w:r>
        <w:rPr>
          <w:rFonts w:ascii="Gadugi" w:eastAsia="Gadugi" w:hAnsi="Gadugi" w:cs="Gadugi"/>
          <w:lang w:val="fr-CA" w:bidi="fr-CA"/>
        </w:rPr>
        <w:t>Le CETES remarque aussi que la SÉQ a apporté des précisions dans sa demande et dans sa réponse à la requête d'information CETES-SÉQ-1-3 concernant les répercussions sur les factures de l'augmentation proposée des tarifs d’électricité de base par rapport à un supplément sur le TSPC. Les répercussions sur les factures varient selon le type de client et selon que le client est admissible ou non au PSEN. Les factures des clients non</w:t>
      </w:r>
      <w:r w:rsidR="00124258">
        <w:rPr>
          <w:rFonts w:ascii="Gadugi" w:eastAsia="Gadugi" w:hAnsi="Gadugi" w:cs="Gadugi"/>
          <w:lang w:val="fr-CA" w:bidi="fr-CA"/>
        </w:rPr>
        <w:noBreakHyphen/>
      </w:r>
      <w:r>
        <w:rPr>
          <w:rFonts w:ascii="Gadugi" w:eastAsia="Gadugi" w:hAnsi="Gadugi" w:cs="Gadugi"/>
          <w:lang w:val="fr-CA" w:bidi="fr-CA"/>
        </w:rPr>
        <w:t xml:space="preserve"> gouvernementaux seront moins élevées, tandis que les factures des clients gouvernementaux seront plus élevées. Les répercussions se résument ainsi :</w:t>
      </w:r>
    </w:p>
    <w:p w14:paraId="621A893F" w14:textId="08C4B7D9"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fr-CA" w:bidi="fr-CA"/>
        </w:rPr>
        <w:t>Les clients résidentiels non gouvernementaux qui reçoivent la subvention territoriale du cout de l’électricité verront une baisse mensuelle d’environ 43 $ à compter du 1</w:t>
      </w:r>
      <w:r w:rsidRPr="00512B40">
        <w:rPr>
          <w:rFonts w:ascii="Gadugi" w:eastAsia="Gadugi" w:hAnsi="Gadugi" w:cs="Gadugi"/>
          <w:sz w:val="24"/>
          <w:vertAlign w:val="superscript"/>
          <w:lang w:val="fr-CA" w:bidi="fr-CA"/>
        </w:rPr>
        <w:t>er </w:t>
      </w:r>
      <w:r w:rsidRPr="00512B40">
        <w:rPr>
          <w:rFonts w:ascii="Gadugi" w:eastAsia="Gadugi" w:hAnsi="Gadugi" w:cs="Gadugi"/>
          <w:sz w:val="24"/>
          <w:lang w:val="fr-CA" w:bidi="fr-CA"/>
        </w:rPr>
        <w:t>octobre 2023 (pour un client moyen qui consomme 1 000 kWh par mois).</w:t>
      </w:r>
    </w:p>
    <w:p w14:paraId="17AAF390" w14:textId="1301E1EC"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fr-CA" w:bidi="fr-CA"/>
        </w:rPr>
        <w:t>Les clients résidentiels non gouvernementaux et résidentiels municipaux qui ne reçoivent PAS la subvention territoriale du cout de l’électricité verront une baisse mensuelle d’environ 13 $ à compter du 1</w:t>
      </w:r>
      <w:r w:rsidRPr="00512B40">
        <w:rPr>
          <w:rFonts w:ascii="Gadugi" w:eastAsia="Gadugi" w:hAnsi="Gadugi" w:cs="Gadugi"/>
          <w:sz w:val="24"/>
          <w:vertAlign w:val="superscript"/>
          <w:lang w:val="fr-CA" w:bidi="fr-CA"/>
        </w:rPr>
        <w:t>er </w:t>
      </w:r>
      <w:r w:rsidRPr="00512B40">
        <w:rPr>
          <w:rFonts w:ascii="Gadugi" w:eastAsia="Gadugi" w:hAnsi="Gadugi" w:cs="Gadugi"/>
          <w:sz w:val="24"/>
          <w:lang w:val="fr-CA" w:bidi="fr-CA"/>
        </w:rPr>
        <w:t>octobre 2023 (pour un client moyen qui consomme 1 000 kWh par mois).</w:t>
      </w:r>
    </w:p>
    <w:p w14:paraId="25894464" w14:textId="2E8C8367"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fr-CA" w:bidi="fr-CA"/>
        </w:rPr>
        <w:t>Les clients commerciaux non gouvernementaux et commerciaux municipaux ayant une consommation mensuelle de 2 000 kWh verront une baisse mensuelle d’environ 47 $ à compter du 1</w:t>
      </w:r>
      <w:r w:rsidRPr="00512B40">
        <w:rPr>
          <w:rFonts w:ascii="Gadugi" w:eastAsia="Gadugi" w:hAnsi="Gadugi" w:cs="Gadugi"/>
          <w:sz w:val="24"/>
          <w:vertAlign w:val="superscript"/>
          <w:lang w:val="fr-CA" w:bidi="fr-CA"/>
        </w:rPr>
        <w:t>er </w:t>
      </w:r>
      <w:r w:rsidRPr="00512B40">
        <w:rPr>
          <w:rFonts w:ascii="Gadugi" w:eastAsia="Gadugi" w:hAnsi="Gadugi" w:cs="Gadugi"/>
          <w:sz w:val="24"/>
          <w:lang w:val="fr-CA" w:bidi="fr-CA"/>
        </w:rPr>
        <w:t>octobre 2023.</w:t>
      </w:r>
    </w:p>
    <w:p w14:paraId="20BAD322" w14:textId="5AEC60FE" w:rsidR="00652241" w:rsidRPr="00512B40" w:rsidRDefault="00652241" w:rsidP="00FB0C4E">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fr-CA" w:bidi="fr-CA"/>
        </w:rPr>
        <w:lastRenderedPageBreak/>
        <w:t>Les clients résidentiels gouvernementaux verront une hausse mensuelle d’environ 18 $ à compter du 1</w:t>
      </w:r>
      <w:r w:rsidRPr="00512B40">
        <w:rPr>
          <w:rFonts w:ascii="Gadugi" w:eastAsia="Gadugi" w:hAnsi="Gadugi" w:cs="Gadugi"/>
          <w:sz w:val="24"/>
          <w:vertAlign w:val="superscript"/>
          <w:lang w:val="fr-CA" w:bidi="fr-CA"/>
        </w:rPr>
        <w:t>er </w:t>
      </w:r>
      <w:r w:rsidRPr="00512B40">
        <w:rPr>
          <w:rFonts w:ascii="Gadugi" w:eastAsia="Gadugi" w:hAnsi="Gadugi" w:cs="Gadugi"/>
          <w:sz w:val="24"/>
          <w:lang w:val="fr-CA" w:bidi="fr-CA"/>
        </w:rPr>
        <w:t>octobre 2023 (pour un client moyen qui consomme 1 000 kWh par mois).</w:t>
      </w:r>
    </w:p>
    <w:p w14:paraId="250200BF" w14:textId="77777777" w:rsidR="00652241" w:rsidRPr="00512B40" w:rsidRDefault="00652241" w:rsidP="00FB0C4E">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fr-CA" w:bidi="fr-CA"/>
        </w:rPr>
        <w:t>Les clients commerciaux gouvernementaux ayant une consommation mensuelle de 2 000 kWh verront une hausse mensuelle d’environ 25 $ à compter du 1</w:t>
      </w:r>
      <w:r w:rsidRPr="00512B40">
        <w:rPr>
          <w:rFonts w:ascii="Gadugi" w:eastAsia="Gadugi" w:hAnsi="Gadugi" w:cs="Gadugi"/>
          <w:sz w:val="24"/>
          <w:vertAlign w:val="superscript"/>
          <w:lang w:val="fr-CA" w:bidi="fr-CA"/>
        </w:rPr>
        <w:t>er </w:t>
      </w:r>
      <w:r w:rsidRPr="00512B40">
        <w:rPr>
          <w:rFonts w:ascii="Gadugi" w:eastAsia="Gadugi" w:hAnsi="Gadugi" w:cs="Gadugi"/>
          <w:sz w:val="24"/>
          <w:lang w:val="fr-CA" w:bidi="fr-CA"/>
        </w:rPr>
        <w:t>octobre 2023.</w:t>
      </w:r>
    </w:p>
    <w:p w14:paraId="18B9E495" w14:textId="1EB30EE6" w:rsidR="00EB459A" w:rsidRDefault="003239E4" w:rsidP="00303C2C">
      <w:pPr>
        <w:pStyle w:val="BodyText"/>
        <w:numPr>
          <w:ilvl w:val="0"/>
          <w:numId w:val="4"/>
        </w:numPr>
        <w:spacing w:after="120" w:line="360" w:lineRule="auto"/>
        <w:ind w:left="907" w:hanging="547"/>
        <w:jc w:val="both"/>
      </w:pPr>
      <w:r>
        <w:rPr>
          <w:rFonts w:ascii="Gadugi" w:eastAsia="Gadugi" w:hAnsi="Gadugi" w:cs="Gadugi"/>
          <w:lang w:val="fr-CA" w:bidi="fr-CA"/>
        </w:rPr>
        <w:t>Le CETES a donné aux clients l’occasion de faire part de leurs commentaires au sujet de la demande et a fait remarquer que seul un client non gouvernemental y a répondu. Le CETES considère que la réponse de la SÉQ à la demande explique pourquoi l'augmentation proposée des tarifs d’électricité de base se traduirait par des factures moins élevées pour les clients non gouvernementaux qui sont admissibles au PSEN. Le CETES souligne que de nombreux types de clients pourraient bénéficier de la publication d'un résumé sur la manière dont la demande est susceptible de les concerner, notamment en ce qui a trait aux conséquences sur les factures. Certains clients voudront peut-être passer en revue toutes les étapes de la demande, mais il semble qu'un grand nombre d'entre eux auraient avantage à recevoir un message adapté à leur catégorie tarifaire.</w:t>
      </w:r>
    </w:p>
    <w:p w14:paraId="2A314E02" w14:textId="20D39AE9" w:rsidR="00551339"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fr-CA" w:bidi="fr-CA"/>
        </w:rPr>
        <w:t xml:space="preserve">Le CETES a de nouveau interpellé la SÉQ sur les améliorations possibles de ses futures prévisions du TSPC et de RMTG concernant le cout du diésel au moyen de la demande d'information CETES-SÉQ-1-1. La SÉQ a répondu qu'elle s'appuie sur les informations fournies par le DPP et que les modifications de prix sont généralement en vigueur pendant au moins un an puisque les prix de détail sont établis sur une base annuelle, de sorte que l'augmentation du prix du combustible par rapport aux prévisions du RMTG pour 2022-2023 devrait </w:t>
      </w:r>
      <w:r w:rsidRPr="0061183C">
        <w:rPr>
          <w:rFonts w:ascii="Gadugi" w:eastAsia="Gadugi" w:hAnsi="Gadugi" w:cs="Gadugi"/>
          <w:lang w:val="fr-CA" w:bidi="fr-CA"/>
        </w:rPr>
        <w:lastRenderedPageBreak/>
        <w:t>être maintenue pendant toute la durée de 2024. La SÉQ a confirmé qu’elle se fiait aux renseignements les plus récents de la DPP (c.-à-d. l’augmentation du prix du combustible en valeur nominale en date du 1</w:t>
      </w:r>
      <w:r w:rsidRPr="0061183C">
        <w:rPr>
          <w:rFonts w:ascii="Gadugi" w:eastAsia="Gadugi" w:hAnsi="Gadugi" w:cs="Gadugi"/>
          <w:vertAlign w:val="superscript"/>
          <w:lang w:val="fr-CA" w:bidi="fr-CA"/>
        </w:rPr>
        <w:t>er </w:t>
      </w:r>
      <w:r w:rsidRPr="0061183C">
        <w:rPr>
          <w:rFonts w:ascii="Gadugi" w:eastAsia="Gadugi" w:hAnsi="Gadugi" w:cs="Gadugi"/>
          <w:lang w:val="fr-CA" w:bidi="fr-CA"/>
        </w:rPr>
        <w:t>octobre 2023) et qu’elle n’avait pas accès aux données ou à l’information sur les prévisions de combustible autres que celles disponibles auprès de la DPP.</w:t>
      </w:r>
    </w:p>
    <w:p w14:paraId="624CD6B1" w14:textId="6E07E8BA" w:rsidR="002B0485" w:rsidRDefault="00551339" w:rsidP="00303C2C">
      <w:pPr>
        <w:pStyle w:val="BodyText"/>
        <w:numPr>
          <w:ilvl w:val="0"/>
          <w:numId w:val="4"/>
        </w:numPr>
        <w:spacing w:after="120" w:line="360" w:lineRule="auto"/>
        <w:ind w:left="907" w:hanging="547"/>
        <w:jc w:val="both"/>
      </w:pPr>
      <w:r>
        <w:rPr>
          <w:rFonts w:ascii="Gadugi" w:eastAsia="Gadugi" w:hAnsi="Gadugi" w:cs="Gadugi"/>
          <w:lang w:val="fr-CA" w:bidi="fr-CA"/>
        </w:rPr>
        <w:t xml:space="preserve">Le CETES constate que la SÉQ semble s'appuyer sur les mêmes informations pour les prévisions des TSCP et des RMTG, même si une demande de TSCP porte sur une période de six mois, alors qu'une RMTG couvre généralement une période de trois ans, voire plus. Le CETES estime que la SÉQ serait mieux informée si elle avait accès à l’information prévisionnelle correspondant à la période couverte par le type de demande qu’elle entend déposer. La SÉQ a déclaré que sa prochaine soumission de RMTG n’est pas attendue avant 2025. </w:t>
      </w:r>
    </w:p>
    <w:p w14:paraId="40781797" w14:textId="77777777" w:rsidR="002B0485" w:rsidRDefault="002B0485">
      <w:pPr>
        <w:rPr>
          <w:sz w:val="24"/>
          <w:szCs w:val="24"/>
        </w:rPr>
      </w:pPr>
      <w:r>
        <w:rPr>
          <w:rFonts w:ascii="Gadugi" w:eastAsia="Gadugi" w:hAnsi="Gadugi" w:cs="Gadugi"/>
          <w:lang w:val="fr-CA" w:bidi="fr-CA"/>
        </w:rPr>
        <w:br w:type="page"/>
      </w:r>
    </w:p>
    <w:p w14:paraId="435A67D6" w14:textId="26E9BA99" w:rsidR="000909CA" w:rsidRDefault="000909CA" w:rsidP="00303C2C">
      <w:pPr>
        <w:pStyle w:val="BodyText"/>
        <w:numPr>
          <w:ilvl w:val="0"/>
          <w:numId w:val="4"/>
        </w:numPr>
        <w:spacing w:after="120" w:line="360" w:lineRule="auto"/>
        <w:ind w:left="907" w:hanging="547"/>
        <w:jc w:val="both"/>
      </w:pPr>
      <w:r>
        <w:rPr>
          <w:rFonts w:ascii="Gadugi" w:eastAsia="Gadugi" w:hAnsi="Gadugi" w:cs="Gadugi"/>
          <w:lang w:val="fr-CA" w:bidi="fr-CA"/>
        </w:rPr>
        <w:lastRenderedPageBreak/>
        <w:t>Le CETES remarque que la méthode du TSPC est généralement utilisée pour faire des ajustements en fonction de l'évolution des prix des combustibles, plutôt que d'appliquer un changement aux prévisions de la RMTG. Le CETES convient que le TSPC constitue une bonne façon de protéger les clients qui y sont admissibles contre les fluctuations du prix du combustible. Si les changements au prix du combustible sont de courte durée, il est probablement préférable de soumettre une demande de supplément au TSPC plutôt que de modifier la RMTG. Cependant, si les changements au prix du combustible s’appliquent à long terme, le CETES estime que la SÉQ devrait solliciter une modification des tarifs de base, comme elle l’a fait dans la demande. Sur la base des données sur les prix du combustible fournies au CETES par la SÉQ par l’intermédiaire de la DPP, le CETES est d’accord quant à la probabilité que les prix des combustibles restent plus élevés que les niveaux établis dans les prévisions de la RMTG pour 2022-2023.</w:t>
      </w:r>
    </w:p>
    <w:p w14:paraId="582ED607" w14:textId="77777777" w:rsidR="00D779B6" w:rsidRDefault="001B44ED" w:rsidP="001B44ED">
      <w:pPr>
        <w:pStyle w:val="BodyText"/>
        <w:numPr>
          <w:ilvl w:val="0"/>
          <w:numId w:val="4"/>
        </w:numPr>
        <w:spacing w:after="120" w:line="360" w:lineRule="auto"/>
        <w:ind w:left="907" w:hanging="547"/>
        <w:jc w:val="both"/>
      </w:pPr>
      <w:r w:rsidRPr="0061183C">
        <w:rPr>
          <w:rFonts w:ascii="Gadugi" w:eastAsia="Gadugi" w:hAnsi="Gadugi" w:cs="Gadugi"/>
          <w:lang w:val="fr-CA" w:bidi="fr-CA"/>
        </w:rPr>
        <w:t>Le CETES convient que la SÉQ est tenue de suivre l'instruction ministérielle de 2014 concernant la méthode du TSPC. Le CETES considère que la demande est conforme à l’instruction ministérielle de 2014. Les tarifs d’électricité de base modifiés devraient maintenir le Fonds de SPC sous le seuil de 1 million $ pour la période de six mois commençant le 1</w:t>
      </w:r>
      <w:r w:rsidRPr="0061183C">
        <w:rPr>
          <w:rFonts w:ascii="Gadugi" w:eastAsia="Gadugi" w:hAnsi="Gadugi" w:cs="Gadugi"/>
          <w:vertAlign w:val="superscript"/>
          <w:lang w:val="fr-CA" w:bidi="fr-CA"/>
        </w:rPr>
        <w:t>er </w:t>
      </w:r>
      <w:r w:rsidRPr="0061183C">
        <w:rPr>
          <w:rFonts w:ascii="Gadugi" w:eastAsia="Gadugi" w:hAnsi="Gadugi" w:cs="Gadugi"/>
          <w:lang w:val="fr-CA" w:bidi="fr-CA"/>
        </w:rPr>
        <w:t xml:space="preserve">octobre 2023. </w:t>
      </w:r>
    </w:p>
    <w:p w14:paraId="748A76A0" w14:textId="58058057" w:rsidR="001B44ED" w:rsidRDefault="001B44ED" w:rsidP="001B44ED">
      <w:pPr>
        <w:pStyle w:val="BodyText"/>
        <w:numPr>
          <w:ilvl w:val="0"/>
          <w:numId w:val="4"/>
        </w:numPr>
        <w:spacing w:after="120" w:line="360" w:lineRule="auto"/>
        <w:ind w:left="907" w:hanging="547"/>
        <w:jc w:val="both"/>
      </w:pPr>
      <w:r>
        <w:rPr>
          <w:rFonts w:ascii="Gadugi" w:eastAsia="Gadugi" w:hAnsi="Gadugi" w:cs="Gadugi"/>
          <w:lang w:val="fr-CA" w:bidi="fr-CA"/>
        </w:rPr>
        <w:t xml:space="preserve">Toutefois, le CETES a invité la SÉQ à se prononcer sur les facteurs dont elle pourrait tenir compte dans le futur au moment de vouloir soumettre une modification de RMTG ou une demande de TSPC. La méthode du TSPC est préférable si les variations de prix des combustibles sont relativement mineures et peuvent fluctuer à la hausse ou à la baisse sur des périodes respectives du TSPC de six mois. De même, si la SÉQ prévoit déposer une RMTG au cours des 6 à 12 prochains mois, il peut être préférable de déposer une demande de TSPC </w:t>
      </w:r>
      <w:r>
        <w:rPr>
          <w:rFonts w:ascii="Gadugi" w:eastAsia="Gadugi" w:hAnsi="Gadugi" w:cs="Gadugi"/>
          <w:lang w:val="fr-CA" w:bidi="fr-CA"/>
        </w:rPr>
        <w:lastRenderedPageBreak/>
        <w:t>plutôt que de recourir à une modification des tarifs d’électricité de base.</w:t>
      </w:r>
    </w:p>
    <w:p w14:paraId="567B6CB0" w14:textId="2DAD7090" w:rsidR="002B0485" w:rsidRDefault="00447188" w:rsidP="001B44ED">
      <w:pPr>
        <w:pStyle w:val="BodyText"/>
        <w:numPr>
          <w:ilvl w:val="0"/>
          <w:numId w:val="4"/>
        </w:numPr>
        <w:spacing w:after="120" w:line="360" w:lineRule="auto"/>
        <w:ind w:left="907" w:hanging="547"/>
        <w:jc w:val="both"/>
      </w:pPr>
      <w:r>
        <w:rPr>
          <w:rFonts w:ascii="Gadugi" w:eastAsia="Gadugi" w:hAnsi="Gadugi" w:cs="Gadugi"/>
          <w:lang w:val="fr-CA" w:bidi="fr-CA"/>
        </w:rPr>
        <w:t>Le CETES a reçu des demandes d’information concernant d’autres effets de la hausse des prix du combustible, au-delà de l’augmentation du cout de production d'électricité. La SÉQ a répondu qu’elle n’avait pas préparé de prévision actualisée aux fins de la demande. Le CETES est d'avis que ces données pourraient être examinées plus en détail dans le cadre du rapport sur les finances et l’exploitation, qui est à présent en retard. Le CETES rappelle que le rapport devait être déposé au plus tard le 30 septembre 2023.</w:t>
      </w:r>
    </w:p>
    <w:p w14:paraId="28DC7CD3" w14:textId="08BA92E4" w:rsidR="00447188" w:rsidRPr="002B0485" w:rsidRDefault="002B0485" w:rsidP="002B0485">
      <w:pPr>
        <w:rPr>
          <w:sz w:val="24"/>
          <w:szCs w:val="24"/>
        </w:rPr>
      </w:pPr>
      <w:r>
        <w:rPr>
          <w:rFonts w:ascii="Gadugi" w:eastAsia="Gadugi" w:hAnsi="Gadugi" w:cs="Gadugi"/>
          <w:lang w:val="fr-CA" w:bidi="fr-CA"/>
        </w:rPr>
        <w:br w:type="page"/>
      </w:r>
    </w:p>
    <w:p w14:paraId="6D3C4BA3" w14:textId="4A4E4A95" w:rsidR="00E53149" w:rsidRDefault="00E53149" w:rsidP="0061183C">
      <w:pPr>
        <w:pStyle w:val="BodyText"/>
        <w:widowControl/>
        <w:numPr>
          <w:ilvl w:val="0"/>
          <w:numId w:val="4"/>
        </w:numPr>
        <w:spacing w:after="120" w:line="360" w:lineRule="auto"/>
        <w:ind w:left="907" w:hanging="547"/>
        <w:jc w:val="both"/>
      </w:pPr>
      <w:r>
        <w:rPr>
          <w:rFonts w:ascii="Gadugi" w:eastAsia="Gadugi" w:hAnsi="Gadugi" w:cs="Gadugi"/>
          <w:lang w:val="fr-CA" w:bidi="fr-CA"/>
        </w:rPr>
        <w:lastRenderedPageBreak/>
        <w:t xml:space="preserve">En résumé, le CETES considère qu'une demande de modification des tarifs d'électricité de base est préférable à une demande de TSPC, principalement en raison de l'effet du PSEN sur les factures des clients admissibles à une subvention et de la probabilité que les prix des combustibles demeurent plus élevés que les niveaux prévus dans le rapport d'évaluation de 2022-2023. Pour les clients qui ne sont pas admissibles à la subvention du PSEN, les répercussions de l’utilisation d’une modification du tarif d’électricité de base ou d’un supplément sur le TSPC se remarquent plus ou moins sur la facture. Comme nous l’avons déjà mentionné, les factures des clients non gouvernementaux seront moins élevées pour les clients résidentiels (13 $ par mois) et commerciaux (47 $ par mois), tandis que les factures gouvernementales seront plus élevées pour les clients résidentiels (18 $ par mois) et commerciaux (25 $ par mois). </w:t>
      </w:r>
    </w:p>
    <w:p w14:paraId="75B348BE" w14:textId="56ADC25F" w:rsidR="00EB459A" w:rsidRDefault="00DB40FA" w:rsidP="0061183C">
      <w:pPr>
        <w:pStyle w:val="BodyText"/>
        <w:widowControl/>
        <w:numPr>
          <w:ilvl w:val="0"/>
          <w:numId w:val="4"/>
        </w:numPr>
        <w:spacing w:after="120" w:line="360" w:lineRule="auto"/>
        <w:ind w:left="907" w:hanging="547"/>
        <w:jc w:val="both"/>
      </w:pPr>
      <w:r>
        <w:rPr>
          <w:rFonts w:ascii="Gadugi" w:eastAsia="Gadugi" w:hAnsi="Gadugi" w:cs="Gadugi"/>
          <w:lang w:val="fr-CA" w:bidi="fr-CA"/>
        </w:rPr>
        <w:t>Dans l’ensemble, le CETES recommande l’approbation de la demande de modification des tarifs d’électricité de base de la manière proposée dans la demande. Par conséquent, le CETES conclut que les tarifs d’électricité de base modifiés, tels que proposés et entrés en vigueur le 1</w:t>
      </w:r>
      <w:r>
        <w:rPr>
          <w:rFonts w:ascii="Gadugi" w:eastAsia="Gadugi" w:hAnsi="Gadugi" w:cs="Gadugi"/>
          <w:vertAlign w:val="superscript"/>
          <w:lang w:val="fr-CA" w:bidi="fr-CA"/>
        </w:rPr>
        <w:t>er </w:t>
      </w:r>
      <w:r>
        <w:rPr>
          <w:rFonts w:ascii="Gadugi" w:eastAsia="Gadugi" w:hAnsi="Gadugi" w:cs="Gadugi"/>
          <w:lang w:val="fr-CA" w:bidi="fr-CA"/>
        </w:rPr>
        <w:t>octobre 2023, sont raisonnables et dans l’intérêt public.</w:t>
      </w:r>
    </w:p>
    <w:p w14:paraId="448FC170" w14:textId="48D8C011" w:rsidR="00B64140" w:rsidRDefault="00B64140" w:rsidP="00EC7006">
      <w:pPr>
        <w:pStyle w:val="BodyText"/>
        <w:ind w:left="907"/>
        <w:jc w:val="both"/>
      </w:pPr>
      <w:r>
        <w:rPr>
          <w:rFonts w:ascii="Gadugi" w:eastAsia="Gadugi" w:hAnsi="Gadugi" w:cs="Gadugi"/>
          <w:lang w:val="fr-CA" w:bidi="fr-CA"/>
        </w:rPr>
        <w:br w:type="page"/>
      </w:r>
    </w:p>
    <w:p w14:paraId="1DCEADFE" w14:textId="58A71CE4" w:rsidR="00EB459A" w:rsidRPr="00172A40" w:rsidRDefault="00632157" w:rsidP="00764593">
      <w:pPr>
        <w:pStyle w:val="URRCHeading1"/>
      </w:pPr>
      <w:bookmarkStart w:id="15" w:name="5.0__URRC_Recommendations"/>
      <w:bookmarkStart w:id="16" w:name="_bookmark5"/>
      <w:bookmarkEnd w:id="15"/>
      <w:bookmarkEnd w:id="16"/>
      <w:r w:rsidRPr="00664778">
        <w:rPr>
          <w:rFonts w:ascii="Gadugi" w:eastAsia="Gadugi" w:hAnsi="Gadugi" w:cs="Gadugi"/>
          <w:lang w:val="fr-CA" w:bidi="fr-CA"/>
        </w:rPr>
        <w:lastRenderedPageBreak/>
        <w:t>RECOMMANDATIONS DU CETES</w:t>
      </w:r>
    </w:p>
    <w:p w14:paraId="1CF59F26" w14:textId="77777777" w:rsidR="00EB459A" w:rsidRPr="00764593" w:rsidRDefault="00EB459A">
      <w:pPr>
        <w:pStyle w:val="BodyText"/>
        <w:rPr>
          <w:b/>
        </w:rPr>
      </w:pPr>
    </w:p>
    <w:p w14:paraId="15E73F49" w14:textId="76F285AC" w:rsidR="00EB459A" w:rsidRDefault="00632157" w:rsidP="00FB0C4E">
      <w:pPr>
        <w:pStyle w:val="BodyText"/>
        <w:numPr>
          <w:ilvl w:val="0"/>
          <w:numId w:val="4"/>
        </w:numPr>
        <w:spacing w:after="120" w:line="360" w:lineRule="auto"/>
        <w:ind w:left="900" w:hanging="540"/>
        <w:jc w:val="both"/>
      </w:pPr>
      <w:r>
        <w:rPr>
          <w:rFonts w:ascii="Gadugi" w:eastAsia="Gadugi" w:hAnsi="Gadugi" w:cs="Gadugi"/>
          <w:lang w:val="fr-CA" w:bidi="fr-CA"/>
        </w:rPr>
        <w:t xml:space="preserve">Le paragraphe 13(1) de la </w:t>
      </w:r>
      <w:r>
        <w:rPr>
          <w:rFonts w:ascii="Gadugi" w:eastAsia="Gadugi" w:hAnsi="Gadugi" w:cs="Gadugi"/>
          <w:i/>
          <w:lang w:val="fr-CA" w:bidi="fr-CA"/>
        </w:rPr>
        <w:t>Loi sur le CETES</w:t>
      </w:r>
      <w:r>
        <w:rPr>
          <w:rFonts w:ascii="Gadugi" w:eastAsia="Gadugi" w:hAnsi="Gadugi" w:cs="Gadugi"/>
          <w:lang w:val="fr-CA" w:bidi="fr-CA"/>
        </w:rPr>
        <w:t xml:space="preserve"> stipule que :</w:t>
      </w:r>
    </w:p>
    <w:p w14:paraId="63739C20" w14:textId="77777777" w:rsidR="00EB459A" w:rsidRPr="008E30DF" w:rsidRDefault="00632157" w:rsidP="00FB0C4E">
      <w:pPr>
        <w:pStyle w:val="BodyText"/>
        <w:spacing w:after="120" w:line="360" w:lineRule="auto"/>
        <w:ind w:left="1260" w:right="720"/>
        <w:jc w:val="both"/>
        <w:rPr>
          <w:sz w:val="22"/>
          <w:szCs w:val="22"/>
        </w:rPr>
      </w:pPr>
      <w:r w:rsidRPr="008E30DF">
        <w:rPr>
          <w:rFonts w:ascii="Gadugi" w:eastAsia="Gadugi" w:hAnsi="Gadugi" w:cs="Gadugi"/>
          <w:sz w:val="22"/>
          <w:lang w:val="fr-CA" w:bidi="fr-CA"/>
        </w:rPr>
        <w:t>Le Conseil d’examen doit remettre au ministre responsable un rapport dans lequel il formule l’une des recommandations suivantes :</w:t>
      </w:r>
    </w:p>
    <w:p w14:paraId="63236FC2"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fr-CA" w:bidi="fr-CA"/>
        </w:rPr>
        <w:t>que le taux ou tarif proposé soit approuvé;</w:t>
      </w:r>
    </w:p>
    <w:p w14:paraId="61835BF0"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fr-CA" w:bidi="fr-CA"/>
        </w:rPr>
        <w:t>que le taux ou tarif proposé ne soit pas approuvé;</w:t>
      </w:r>
    </w:p>
    <w:p w14:paraId="076AE6B3"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fr-CA" w:bidi="fr-CA"/>
        </w:rPr>
        <w:t>qu’un autre taux ou tarif, qu’il précise dans son rapport, soit adopté.</w:t>
      </w:r>
    </w:p>
    <w:p w14:paraId="1995F5C9" w14:textId="40569EB5" w:rsidR="00EB459A" w:rsidRDefault="00632157" w:rsidP="00FB0C4E">
      <w:pPr>
        <w:pStyle w:val="BodyText"/>
        <w:numPr>
          <w:ilvl w:val="0"/>
          <w:numId w:val="4"/>
        </w:numPr>
        <w:spacing w:after="120" w:line="360" w:lineRule="auto"/>
        <w:ind w:left="900" w:hanging="540"/>
        <w:jc w:val="both"/>
      </w:pPr>
      <w:r w:rsidRPr="00B64140">
        <w:rPr>
          <w:rFonts w:ascii="Gadugi" w:eastAsia="Gadugi" w:hAnsi="Gadugi" w:cs="Gadugi"/>
          <w:lang w:val="fr-CA" w:bidi="fr-CA"/>
        </w:rPr>
        <w:t>Conformément à ce qui précède, le CETES recommande que les tarifs d’électricité de base soient augmentés de 9,4 %, tel que proposé par la SÉQ et tel qu’approuvé précédemment sur une base remboursable provisoire et entrés en vigueur le 1</w:t>
      </w:r>
      <w:r w:rsidRPr="00B64140">
        <w:rPr>
          <w:rFonts w:ascii="Gadugi" w:eastAsia="Gadugi" w:hAnsi="Gadugi" w:cs="Gadugi"/>
          <w:vertAlign w:val="superscript"/>
          <w:lang w:val="fr-CA" w:bidi="fr-CA"/>
        </w:rPr>
        <w:t>er </w:t>
      </w:r>
      <w:r w:rsidRPr="00B64140">
        <w:rPr>
          <w:rFonts w:ascii="Gadugi" w:eastAsia="Gadugi" w:hAnsi="Gadugi" w:cs="Gadugi"/>
          <w:lang w:val="fr-CA" w:bidi="fr-CA"/>
        </w:rPr>
        <w:t>octobre 2023.</w:t>
      </w:r>
    </w:p>
    <w:p w14:paraId="48F8DC8A" w14:textId="56135A92" w:rsidR="00A440C0" w:rsidRDefault="00A440C0" w:rsidP="00FB0C4E">
      <w:pPr>
        <w:pStyle w:val="BodyText"/>
        <w:numPr>
          <w:ilvl w:val="0"/>
          <w:numId w:val="4"/>
        </w:numPr>
        <w:spacing w:after="120" w:line="360" w:lineRule="auto"/>
        <w:ind w:left="900" w:hanging="540"/>
        <w:jc w:val="both"/>
      </w:pPr>
      <w:r>
        <w:rPr>
          <w:rFonts w:ascii="Gadugi" w:eastAsia="Gadugi" w:hAnsi="Gadugi" w:cs="Gadugi"/>
          <w:lang w:val="fr-CA" w:bidi="fr-CA"/>
        </w:rPr>
        <w:t xml:space="preserve">Le CETES recommande que la SÉQ dépose son rapport sur les finances et l’exploitation, conformément aux </w:t>
      </w:r>
      <w:r>
        <w:rPr>
          <w:rFonts w:ascii="Gadugi" w:eastAsia="Gadugi" w:hAnsi="Gadugi" w:cs="Gadugi"/>
          <w:i/>
          <w:lang w:val="fr-CA" w:bidi="fr-CA"/>
        </w:rPr>
        <w:t>Règles de procédure et de pratique et Lignes directrices des taux</w:t>
      </w:r>
      <w:r>
        <w:rPr>
          <w:rFonts w:ascii="Gadugi" w:eastAsia="Gadugi" w:hAnsi="Gadugi" w:cs="Gadugi"/>
          <w:lang w:val="fr-CA" w:bidi="fr-CA"/>
        </w:rPr>
        <w:t xml:space="preserve"> du CETES (mars 2007, page 16), et conformément au rapport 2022-02 du CETES.</w:t>
      </w:r>
    </w:p>
    <w:p w14:paraId="6F21C228" w14:textId="77777777" w:rsidR="00EB459A" w:rsidRPr="00B64140" w:rsidRDefault="00632157" w:rsidP="00FB0C4E">
      <w:pPr>
        <w:pStyle w:val="BodyText"/>
        <w:numPr>
          <w:ilvl w:val="0"/>
          <w:numId w:val="4"/>
        </w:numPr>
        <w:spacing w:line="360" w:lineRule="auto"/>
        <w:ind w:left="900" w:hanging="540"/>
        <w:jc w:val="both"/>
      </w:pPr>
      <w:r w:rsidRPr="00B64140">
        <w:rPr>
          <w:rFonts w:ascii="Gadugi" w:eastAsia="Gadugi" w:hAnsi="Gadugi" w:cs="Gadugi"/>
          <w:lang w:val="fr-CA" w:bidi="fr-CA"/>
        </w:rPr>
        <w:t>Le présent rapport ne porte d’aucune manière atteinte à la capacité du CETES d’examiner d’autres questions ayant trait à la SÉQ.</w:t>
      </w:r>
    </w:p>
    <w:p w14:paraId="790834A6" w14:textId="77777777" w:rsidR="00EB459A" w:rsidRDefault="00EB459A" w:rsidP="00B64140">
      <w:pPr>
        <w:pStyle w:val="BodyText"/>
        <w:spacing w:line="360" w:lineRule="auto"/>
        <w:rPr>
          <w:sz w:val="26"/>
        </w:rPr>
      </w:pPr>
    </w:p>
    <w:p w14:paraId="4AD8AA0F" w14:textId="77777777" w:rsidR="00EB459A" w:rsidRDefault="00EB459A">
      <w:pPr>
        <w:pStyle w:val="BodyText"/>
        <w:spacing w:before="2"/>
        <w:rPr>
          <w:sz w:val="30"/>
        </w:rPr>
      </w:pPr>
    </w:p>
    <w:p w14:paraId="0D4F107B" w14:textId="77777777" w:rsidR="00C0030A" w:rsidRPr="00290E8E" w:rsidRDefault="00632157" w:rsidP="00452295">
      <w:pPr>
        <w:jc w:val="center"/>
      </w:pPr>
      <w:r w:rsidRPr="00452295">
        <w:rPr>
          <w:rFonts w:ascii="Gadugi" w:eastAsia="Gadugi" w:hAnsi="Gadugi" w:cs="Gadugi"/>
          <w:b/>
          <w:lang w:val="fr-CA" w:bidi="fr-CA"/>
        </w:rPr>
        <w:t>AU NOM DU</w:t>
      </w:r>
    </w:p>
    <w:p w14:paraId="7500CEB3" w14:textId="2D38032B" w:rsidR="00EB459A" w:rsidRPr="00290E8E" w:rsidRDefault="00632157" w:rsidP="00452295">
      <w:pPr>
        <w:jc w:val="center"/>
      </w:pPr>
      <w:r w:rsidRPr="00452295">
        <w:rPr>
          <w:rFonts w:ascii="Gadugi" w:eastAsia="Gadugi" w:hAnsi="Gadugi" w:cs="Gadugi"/>
          <w:b/>
          <w:lang w:val="fr-CA" w:bidi="fr-CA"/>
        </w:rPr>
        <w:t>CONSEIL D’EXAMEN DES TAUX DES ENTREPRISES DE SERVICE AU NUNAVUT</w:t>
      </w:r>
    </w:p>
    <w:p w14:paraId="0566DE7F" w14:textId="46338C41" w:rsidR="00EB459A" w:rsidRDefault="00EB459A">
      <w:pPr>
        <w:pStyle w:val="BodyText"/>
        <w:spacing w:before="10"/>
        <w:rPr>
          <w:b/>
          <w:sz w:val="18"/>
        </w:rPr>
      </w:pPr>
    </w:p>
    <w:p w14:paraId="567271B9" w14:textId="66A552B4" w:rsidR="00EB459A" w:rsidRDefault="00EB459A">
      <w:pPr>
        <w:pStyle w:val="BodyText"/>
        <w:spacing w:before="7"/>
        <w:rPr>
          <w:b/>
          <w:sz w:val="26"/>
        </w:rPr>
      </w:pPr>
    </w:p>
    <w:p w14:paraId="1BE97DFC" w14:textId="2269DF9E" w:rsidR="00523DEE" w:rsidRDefault="00523DEE">
      <w:pPr>
        <w:tabs>
          <w:tab w:val="left" w:pos="5879"/>
        </w:tabs>
        <w:spacing w:before="129"/>
        <w:ind w:left="4440"/>
        <w:rPr>
          <w:b/>
          <w:sz w:val="24"/>
          <w:szCs w:val="24"/>
        </w:rPr>
      </w:pPr>
    </w:p>
    <w:p w14:paraId="0CF8E632" w14:textId="76EF4348" w:rsidR="00523DEE" w:rsidRDefault="002B0485" w:rsidP="00EC7006">
      <w:pPr>
        <w:tabs>
          <w:tab w:val="left" w:pos="5879"/>
        </w:tabs>
        <w:spacing w:before="129"/>
        <w:ind w:left="4050"/>
        <w:rPr>
          <w:b/>
          <w:sz w:val="24"/>
          <w:szCs w:val="24"/>
        </w:rPr>
      </w:pPr>
      <w:r>
        <w:rPr>
          <w:rFonts w:ascii="Gadugi" w:eastAsia="Gadugi" w:hAnsi="Gadugi" w:cs="Gadugi"/>
          <w:b/>
          <w:noProof/>
          <w:sz w:val="24"/>
          <w:lang w:val="fr-CA" w:bidi="fr-CA"/>
        </w:rPr>
        <w:drawing>
          <wp:inline distT="0" distB="0" distL="0" distR="0" wp14:anchorId="53F50A94" wp14:editId="76F5CB37">
            <wp:extent cx="2286000" cy="635000"/>
            <wp:effectExtent l="0" t="0" r="0" b="0"/>
            <wp:docPr id="522636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36840" name="Picture 522636840"/>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7A7A9994" w14:textId="6F62B62E" w:rsidR="00523DEE" w:rsidRDefault="00C0030A">
      <w:pPr>
        <w:tabs>
          <w:tab w:val="left" w:pos="5879"/>
        </w:tabs>
        <w:spacing w:before="129"/>
        <w:ind w:left="4440"/>
        <w:rPr>
          <w:b/>
          <w:sz w:val="24"/>
          <w:szCs w:val="24"/>
        </w:rPr>
      </w:pPr>
      <w:r>
        <w:rPr>
          <w:rFonts w:ascii="Gadugi" w:eastAsia="Gadugi" w:hAnsi="Gadugi" w:cs="Gadugi"/>
          <w:noProof/>
          <w:lang w:val="fr-CA" w:bidi="fr-CA"/>
        </w:rPr>
        <w:lastRenderedPageBreak/>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ACC4"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" path="m4032,l,e" filled="f">
                <v:path arrowok="t" o:connecttype="custom" o:connectlocs="2560320,0;0,0" o:connectangles="0,0"/>
                <w10:wrap type="topAndBottom" anchorx="page"/>
              </v:shape>
            </w:pict>
          </mc:Fallback>
        </mc:AlternateContent>
      </w:r>
    </w:p>
    <w:p w14:paraId="7F8199E6" w14:textId="186B8AEF" w:rsidR="00EB459A" w:rsidRPr="00D10FE9" w:rsidRDefault="00632157">
      <w:pPr>
        <w:tabs>
          <w:tab w:val="left" w:pos="5879"/>
        </w:tabs>
        <w:spacing w:before="129"/>
        <w:ind w:left="4440"/>
        <w:rPr>
          <w:b/>
          <w:sz w:val="24"/>
          <w:szCs w:val="24"/>
        </w:rPr>
      </w:pPr>
      <w:r w:rsidRPr="00D10FE9">
        <w:rPr>
          <w:rFonts w:ascii="Gadugi" w:eastAsia="Gadugi" w:hAnsi="Gadugi" w:cs="Gadugi"/>
          <w:b/>
          <w:sz w:val="24"/>
          <w:lang w:val="fr-CA" w:bidi="fr-CA"/>
        </w:rPr>
        <w:t>DATE :</w:t>
      </w:r>
      <w:r w:rsidRPr="00D10FE9">
        <w:rPr>
          <w:rFonts w:ascii="Gadugi" w:eastAsia="Gadugi" w:hAnsi="Gadugi" w:cs="Gadugi"/>
          <w:b/>
          <w:sz w:val="24"/>
          <w:lang w:val="fr-CA" w:bidi="fr-CA"/>
        </w:rPr>
        <w:tab/>
        <w:t>18 décembre 2023</w:t>
      </w:r>
    </w:p>
    <w:p w14:paraId="3EFA4664" w14:textId="77777777" w:rsidR="00C0030A" w:rsidRDefault="00C0030A" w:rsidP="00C0030A">
      <w:pPr>
        <w:ind w:left="4435"/>
        <w:rPr>
          <w:b/>
          <w:sz w:val="24"/>
          <w:szCs w:val="24"/>
        </w:rPr>
      </w:pPr>
    </w:p>
    <w:p w14:paraId="33D89925" w14:textId="1B1523CC" w:rsidR="00C0030A" w:rsidRDefault="00055E53" w:rsidP="00C0030A">
      <w:pPr>
        <w:ind w:left="4435"/>
        <w:rPr>
          <w:b/>
          <w:sz w:val="24"/>
          <w:szCs w:val="24"/>
        </w:rPr>
      </w:pPr>
      <w:r>
        <w:rPr>
          <w:rFonts w:ascii="Gadugi" w:eastAsia="Gadugi" w:hAnsi="Gadugi" w:cs="Gadugi"/>
          <w:b/>
          <w:sz w:val="24"/>
          <w:lang w:val="fr-CA" w:bidi="fr-CA"/>
        </w:rPr>
        <w:t>Graham Lock, président par intérim</w:t>
      </w:r>
    </w:p>
    <w:p w14:paraId="29FA08A3" w14:textId="41F27F67" w:rsidR="00EB459A" w:rsidRPr="00D10FE9" w:rsidRDefault="00CF1E89" w:rsidP="00C0030A">
      <w:pPr>
        <w:ind w:left="4435"/>
        <w:rPr>
          <w:b/>
          <w:sz w:val="24"/>
          <w:szCs w:val="24"/>
        </w:rPr>
      </w:pPr>
      <w:r>
        <w:rPr>
          <w:rFonts w:ascii="Gadugi" w:eastAsia="Gadugi" w:hAnsi="Gadugi" w:cs="Gadugi"/>
          <w:b/>
          <w:sz w:val="24"/>
          <w:lang w:val="fr-CA" w:bidi="fr-CA"/>
        </w:rPr>
        <w:t>Conseil d’examen des taux des entreprises de service au Nunavut</w:t>
      </w:r>
    </w:p>
    <w:sectPr w:rsidR="00EB459A" w:rsidRPr="00D10FE9" w:rsidSect="00B23850">
      <w:pgSz w:w="12240" w:h="15840"/>
      <w:pgMar w:top="1440" w:right="1440" w:bottom="720" w:left="1440" w:header="144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39BD" w14:textId="77777777" w:rsidR="00B23850" w:rsidRDefault="00B23850">
      <w:r>
        <w:separator/>
      </w:r>
    </w:p>
  </w:endnote>
  <w:endnote w:type="continuationSeparator" w:id="0">
    <w:p w14:paraId="5730F92E" w14:textId="77777777" w:rsidR="00B23850" w:rsidRDefault="00B2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883B" w14:textId="77777777" w:rsidR="00D34D58" w:rsidRDefault="00D34D58" w:rsidP="00FF60EF">
    <w:r>
      <w:rPr>
        <w:rFonts w:ascii="Gadugi" w:eastAsia="Gadugi" w:hAnsi="Gadugi" w:cs="Gadugi"/>
        <w:noProof/>
        <w:lang w:val="fr-CA" w:bidi="fr-CA"/>
      </w:rPr>
      <mc:AlternateContent>
        <mc:Choice Requires="wps">
          <w:drawing>
            <wp:anchor distT="0" distB="0" distL="0" distR="0" simplePos="0" relativeHeight="251659264" behindDoc="1" locked="0" layoutInCell="1" allowOverlap="1" wp14:anchorId="6207C162" wp14:editId="5E92C28A">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A6F7"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" strokecolor="#0092d5" strokeweight="1pt">
              <w10:wrap type="topAndBottom" anchorx="page"/>
            </v:line>
          </w:pict>
        </mc:Fallback>
      </mc:AlternateContent>
    </w:r>
  </w:p>
  <w:p w14:paraId="62ECEE73" w14:textId="6127879A" w:rsidR="00D34D58" w:rsidRDefault="00D34D58" w:rsidP="009E4DEB">
    <w:pPr>
      <w:spacing w:before="120"/>
      <w:ind w:left="346"/>
      <w:jc w:val="center"/>
    </w:pPr>
    <w:r>
      <w:rPr>
        <w:rFonts w:ascii="Gadugi" w:eastAsia="Gadugi" w:hAnsi="Gadugi" w:cs="Gadugi"/>
        <w:color w:val="0070C0"/>
        <w:lang w:val="fr-CA" w:bidi="fr-CA"/>
      </w:rPr>
      <w:t xml:space="preserve">C.P. 1000, succursale 200, Iqaluit (Nunavut)  X0A 0H0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78C0" w14:textId="2A96A26C" w:rsidR="00D34D58" w:rsidRDefault="00D34D5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B342" w14:textId="3ACB4954" w:rsidR="00D34D58" w:rsidRDefault="00D34D5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095F" w14:textId="205C878D" w:rsidR="00D34D58" w:rsidRDefault="00D34D5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8E3" w14:textId="7753591C" w:rsidR="00D34D58" w:rsidRPr="00B105A4" w:rsidRDefault="00D34D5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0DE" w14:textId="77777777" w:rsidR="00D34D58" w:rsidRPr="004552CB" w:rsidRDefault="00D34D58" w:rsidP="00B105A4">
    <w:pPr>
      <w:pStyle w:val="Footer"/>
      <w:jc w:val="right"/>
      <w:rPr>
        <w:sz w:val="20"/>
        <w:szCs w:val="20"/>
      </w:rPr>
    </w:pPr>
  </w:p>
  <w:p w14:paraId="5DFFE045" w14:textId="1776A82D" w:rsidR="00D34D58" w:rsidRPr="004552CB" w:rsidRDefault="00D34D58" w:rsidP="00B105A4">
    <w:pPr>
      <w:pStyle w:val="Footer"/>
      <w:jc w:val="right"/>
      <w:rPr>
        <w:sz w:val="20"/>
        <w:szCs w:val="20"/>
      </w:rPr>
    </w:pPr>
    <w:r w:rsidRPr="004552CB">
      <w:rPr>
        <w:rFonts w:ascii="Gadugi" w:eastAsia="Gadugi" w:hAnsi="Gadugi" w:cs="Gadugi"/>
        <w:sz w:val="20"/>
        <w:lang w:val="fr-CA" w:bidi="fr-CA"/>
      </w:rPr>
      <w:t>Page </w:t>
    </w:r>
    <w:r w:rsidRPr="004552CB">
      <w:rPr>
        <w:rFonts w:ascii="Gadugi" w:eastAsia="Gadugi" w:hAnsi="Gadugi" w:cs="Gadugi"/>
        <w:sz w:val="20"/>
        <w:lang w:val="fr-CA" w:bidi="fr-CA"/>
      </w:rPr>
      <w:fldChar w:fldCharType="begin"/>
    </w:r>
    <w:r w:rsidRPr="004552CB">
      <w:rPr>
        <w:rFonts w:ascii="Gadugi" w:eastAsia="Gadugi" w:hAnsi="Gadugi" w:cs="Gadugi"/>
        <w:sz w:val="20"/>
        <w:lang w:val="fr-CA" w:bidi="fr-CA"/>
      </w:rPr>
      <w:instrText xml:space="preserve"> PAGE   \* MERGEFORMAT </w:instrText>
    </w:r>
    <w:r w:rsidRPr="004552CB">
      <w:rPr>
        <w:rFonts w:ascii="Gadugi" w:eastAsia="Gadugi" w:hAnsi="Gadugi" w:cs="Gadugi"/>
        <w:sz w:val="20"/>
        <w:lang w:val="fr-CA" w:bidi="fr-CA"/>
      </w:rPr>
      <w:fldChar w:fldCharType="separate"/>
    </w:r>
    <w:r w:rsidR="00180E54">
      <w:rPr>
        <w:rFonts w:ascii="Gadugi" w:eastAsia="Gadugi" w:hAnsi="Gadugi" w:cs="Gadugi"/>
        <w:noProof/>
        <w:sz w:val="20"/>
        <w:lang w:val="fr-CA" w:bidi="fr-CA"/>
      </w:rPr>
      <w:t>4</w:t>
    </w:r>
    <w:r w:rsidRPr="004552CB">
      <w:rPr>
        <w:rFonts w:ascii="Gadugi" w:eastAsia="Gadugi" w:hAnsi="Gadugi" w:cs="Gadugi"/>
        <w:noProof/>
        <w:sz w:val="20"/>
        <w:lang w:val="fr-CA" w:bidi="fr-CA"/>
      </w:rPr>
      <w:fldChar w:fldCharType="end"/>
    </w:r>
  </w:p>
  <w:p w14:paraId="3C4B9301" w14:textId="77777777" w:rsidR="00D34D58" w:rsidRDefault="00D34D58"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ED82C" w14:textId="77777777" w:rsidR="00B23850" w:rsidRDefault="00B23850">
      <w:r>
        <w:separator/>
      </w:r>
    </w:p>
  </w:footnote>
  <w:footnote w:type="continuationSeparator" w:id="0">
    <w:p w14:paraId="4250B0BE" w14:textId="77777777" w:rsidR="00B23850" w:rsidRDefault="00B23850">
      <w:r>
        <w:continuationSeparator/>
      </w:r>
    </w:p>
  </w:footnote>
  <w:footnote w:id="1">
    <w:p w14:paraId="28A5E0DD" w14:textId="7358DD26" w:rsidR="00D34D58" w:rsidRDefault="00D34D58" w:rsidP="00CB0DC5">
      <w:pPr>
        <w:pStyle w:val="FootnoteText"/>
        <w:tabs>
          <w:tab w:val="left" w:pos="360"/>
        </w:tabs>
      </w:pPr>
      <w:r w:rsidRPr="00CB0DC5">
        <w:rPr>
          <w:rStyle w:val="FootnoteReference"/>
          <w:rFonts w:ascii="Gadugi" w:eastAsia="Gadugi" w:hAnsi="Gadugi" w:cs="Gadugi"/>
          <w:b/>
          <w:lang w:val="fr-CA" w:bidi="fr-CA"/>
        </w:rPr>
        <w:footnoteRef/>
      </w:r>
      <w:r>
        <w:rPr>
          <w:rFonts w:ascii="Gadugi" w:eastAsia="Gadugi" w:hAnsi="Gadugi" w:cs="Gadugi"/>
          <w:lang w:val="fr-CA" w:bidi="fr-CA"/>
        </w:rPr>
        <w:tab/>
        <w:t>Arrondi au cent le plus proche.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0732" w14:textId="3680EDB6" w:rsidR="00D34D58" w:rsidRDefault="00D34D58" w:rsidP="00C4240C">
    <w:pPr>
      <w:pStyle w:val="Header"/>
    </w:pPr>
  </w:p>
  <w:p w14:paraId="3AE975F0" w14:textId="77777777" w:rsidR="00D34D58" w:rsidRDefault="00D34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68B10" w14:textId="24318AF8" w:rsidR="00D34D58" w:rsidRDefault="00D34D58" w:rsidP="00C4240C">
    <w:pPr>
      <w:pStyle w:val="Header"/>
    </w:pPr>
  </w:p>
  <w:p w14:paraId="6621DD98" w14:textId="77777777" w:rsidR="00D34D58" w:rsidRDefault="00D3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AD0DC" w14:textId="65FCDDB5" w:rsidR="00D34D58" w:rsidRDefault="00D34D58" w:rsidP="00C4240C">
    <w:pPr>
      <w:pStyle w:val="Header"/>
    </w:pPr>
  </w:p>
  <w:p w14:paraId="166B527A" w14:textId="77777777" w:rsidR="00D34D58" w:rsidRDefault="00D34D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2229" w14:textId="53876E5A" w:rsidR="00D34D58" w:rsidRDefault="00D34D58" w:rsidP="00C4240C">
    <w:pPr>
      <w:pStyle w:val="Header"/>
    </w:pPr>
  </w:p>
  <w:p w14:paraId="01E376A2" w14:textId="77777777" w:rsidR="00D34D58" w:rsidRDefault="00D34D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7A88B" w14:textId="3C9A0F5B" w:rsidR="00D34D58" w:rsidRDefault="00D34D58" w:rsidP="00C4240C">
    <w:pPr>
      <w:pStyle w:val="Header"/>
    </w:pPr>
  </w:p>
  <w:p w14:paraId="0529E159" w14:textId="77777777" w:rsidR="00D34D58" w:rsidRDefault="00D34D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3248E" w14:textId="77777777" w:rsidR="00D34D58" w:rsidRDefault="00D34D58" w:rsidP="00C4240C">
    <w:pPr>
      <w:pStyle w:val="Header"/>
    </w:pPr>
    <w:r>
      <w:rPr>
        <w:rFonts w:ascii="Gadugi" w:eastAsia="Gadugi" w:hAnsi="Gadugi" w:cs="Gadugi"/>
        <w:noProof/>
        <w:lang w:val="fr-CA" w:bidi="fr-CA"/>
      </w:rPr>
      <mc:AlternateContent>
        <mc:Choice Requires="wps">
          <w:drawing>
            <wp:anchor distT="0" distB="0" distL="114300" distR="114300" simplePos="0" relativeHeight="251667456" behindDoc="1" locked="0" layoutInCell="1" allowOverlap="1" wp14:anchorId="176C8D68" wp14:editId="3A7998F6">
              <wp:simplePos x="0" y="0"/>
              <wp:positionH relativeFrom="margin">
                <wp:align>left</wp:align>
              </wp:positionH>
              <wp:positionV relativeFrom="page">
                <wp:posOffset>921303</wp:posOffset>
              </wp:positionV>
              <wp:extent cx="5980430" cy="12700"/>
              <wp:effectExtent l="0" t="0" r="20320" b="25400"/>
              <wp:wrapNone/>
              <wp:docPr id="17199531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5C3C5" id="Line 2" o:spid="_x0000_s1026" style="position:absolute;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" strokecolor="#dbdbdb">
              <w10:wrap anchorx="margin" anchory="page"/>
            </v:line>
          </w:pict>
        </mc:Fallback>
      </mc:AlternateContent>
    </w:r>
  </w:p>
  <w:p w14:paraId="135DFAD6" w14:textId="77777777" w:rsidR="00D34D58" w:rsidRDefault="00D34D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97C03" w14:textId="30D3F1F6" w:rsidR="00D34D58" w:rsidRPr="00B967C5" w:rsidRDefault="00D34D58" w:rsidP="004119AC">
    <w:pPr>
      <w:pStyle w:val="Header"/>
      <w:tabs>
        <w:tab w:val="clear" w:pos="4680"/>
        <w:tab w:val="clear" w:pos="9360"/>
        <w:tab w:val="left" w:pos="4400"/>
      </w:tabs>
      <w:rPr>
        <w:sz w:val="16"/>
        <w:szCs w:val="16"/>
      </w:rPr>
    </w:pPr>
    <w:r w:rsidRPr="00B967C5">
      <w:rPr>
        <w:rFonts w:ascii="Gadugi" w:eastAsia="Gadugi" w:hAnsi="Gadugi" w:cs="Gadugi"/>
        <w:noProof/>
        <w:sz w:val="16"/>
        <w:lang w:val="fr-CA" w:bidi="fr-CA"/>
      </w:rPr>
      <mc:AlternateContent>
        <mc:Choice Requires="wps">
          <w:drawing>
            <wp:anchor distT="0" distB="0" distL="114300" distR="114300" simplePos="0" relativeHeight="251665408" behindDoc="1" locked="0" layoutInCell="1" allowOverlap="1" wp14:anchorId="468720F5" wp14:editId="751E8EB4">
              <wp:simplePos x="0" y="0"/>
              <wp:positionH relativeFrom="margin">
                <wp:posOffset>38100</wp:posOffset>
              </wp:positionH>
              <wp:positionV relativeFrom="page">
                <wp:posOffset>736600</wp:posOffset>
              </wp:positionV>
              <wp:extent cx="8183245" cy="17145"/>
              <wp:effectExtent l="0" t="0" r="27305" b="20955"/>
              <wp:wrapNone/>
              <wp:docPr id="7717655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3245" cy="17145"/>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B589" id="Line 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pt,58pt" to="647.3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" strokecolor="#dbdbdb">
              <w10:wrap anchorx="margin" anchory="page"/>
            </v:line>
          </w:pict>
        </mc:Fallback>
      </mc:AlternateContent>
    </w:r>
    <w:r>
      <w:rPr>
        <w:rFonts w:ascii="Gadugi" w:eastAsia="Gadugi" w:hAnsi="Gadugi" w:cs="Gadugi"/>
        <w:sz w:val="16"/>
        <w:lang w:val="fr-CA" w:bidi="fr-C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F3C0" w14:textId="77777777" w:rsidR="00D34D58" w:rsidRDefault="00D34D58" w:rsidP="0099557B">
    <w:pPr>
      <w:pStyle w:val="Header"/>
    </w:pPr>
    <w:r>
      <w:rPr>
        <w:rFonts w:ascii="Gadugi" w:eastAsia="Gadugi" w:hAnsi="Gadugi" w:cs="Gadugi"/>
        <w:noProof/>
        <w:lang w:val="fr-CA" w:bidi="fr-CA"/>
      </w:rPr>
      <mc:AlternateContent>
        <mc:Choice Requires="wps">
          <w:drawing>
            <wp:anchor distT="0" distB="0" distL="114300" distR="114300" simplePos="0" relativeHeight="251669504" behindDoc="1" locked="0" layoutInCell="1" allowOverlap="1" wp14:anchorId="29C3DD5A" wp14:editId="5A0F96B1">
              <wp:simplePos x="0" y="0"/>
              <wp:positionH relativeFrom="margin">
                <wp:align>left</wp:align>
              </wp:positionH>
              <wp:positionV relativeFrom="page">
                <wp:posOffset>921303</wp:posOffset>
              </wp:positionV>
              <wp:extent cx="5980430" cy="12700"/>
              <wp:effectExtent l="0" t="0" r="20320" b="25400"/>
              <wp:wrapNone/>
              <wp:docPr id="1507947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2BC02" id="Line 2" o:spid="_x0000_s1026" style="position:absolute;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" strokecolor="#dbdbdb">
              <w10:wrap anchorx="margin" anchory="page"/>
            </v:line>
          </w:pict>
        </mc:Fallback>
      </mc:AlternateContent>
    </w:r>
  </w:p>
  <w:p w14:paraId="3F9B12BD" w14:textId="77777777" w:rsidR="00D34D58" w:rsidRPr="0099557B" w:rsidRDefault="00D34D58" w:rsidP="009955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35BA" w14:textId="77777777" w:rsidR="00D34D58" w:rsidRDefault="00D34D58" w:rsidP="00C4240C">
    <w:pPr>
      <w:pStyle w:val="Header"/>
    </w:pPr>
    <w:r>
      <w:rPr>
        <w:rFonts w:ascii="Gadugi" w:eastAsia="Gadugi" w:hAnsi="Gadugi" w:cs="Gadugi"/>
        <w:noProof/>
        <w:lang w:val="fr-CA" w:bidi="fr-CA"/>
      </w:rPr>
      <mc:AlternateContent>
        <mc:Choice Requires="wps">
          <w:drawing>
            <wp:anchor distT="0" distB="0" distL="114300" distR="114300" simplePos="0" relativeHeight="251663360" behindDoc="1" locked="0" layoutInCell="1" allowOverlap="1" wp14:anchorId="5A60CFF7" wp14:editId="4F172E9D">
              <wp:simplePos x="0" y="0"/>
              <wp:positionH relativeFrom="margin">
                <wp:align>left</wp:align>
              </wp:positionH>
              <wp:positionV relativeFrom="page">
                <wp:posOffset>921303</wp:posOffset>
              </wp:positionV>
              <wp:extent cx="5980430" cy="12700"/>
              <wp:effectExtent l="0" t="0" r="20320" b="25400"/>
              <wp:wrapNone/>
              <wp:docPr id="2345718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CB4A2" id="Line 2"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" strokecolor="#dbdbdb">
              <w10:wrap anchorx="margin" anchory="page"/>
            </v:line>
          </w:pict>
        </mc:Fallback>
      </mc:AlternateContent>
    </w:r>
  </w:p>
  <w:p w14:paraId="568228B7" w14:textId="77777777" w:rsidR="00D34D58" w:rsidRDefault="00D34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99" w:hanging="361"/>
      </w:pPr>
      <w:rPr>
        <w:rFonts w:ascii="Symbol" w:hAnsi="Symbol" w:cs="Symbol"/>
        <w:b w:val="0"/>
        <w:bCs w:val="0"/>
        <w:i w:val="0"/>
        <w:iCs w:val="0"/>
        <w:color w:val="0E101A"/>
        <w:spacing w:val="0"/>
        <w:w w:val="100"/>
        <w:sz w:val="22"/>
        <w:szCs w:val="22"/>
      </w:rPr>
    </w:lvl>
    <w:lvl w:ilvl="1">
      <w:numFmt w:val="bullet"/>
      <w:lvlText w:val="•"/>
      <w:lvlJc w:val="left"/>
      <w:pPr>
        <w:ind w:left="1600" w:hanging="361"/>
      </w:pPr>
    </w:lvl>
    <w:lvl w:ilvl="2">
      <w:numFmt w:val="bullet"/>
      <w:lvlText w:val="•"/>
      <w:lvlJc w:val="left"/>
      <w:pPr>
        <w:ind w:left="2400" w:hanging="361"/>
      </w:pPr>
    </w:lvl>
    <w:lvl w:ilvl="3">
      <w:numFmt w:val="bullet"/>
      <w:lvlText w:val="•"/>
      <w:lvlJc w:val="left"/>
      <w:pPr>
        <w:ind w:left="3200" w:hanging="361"/>
      </w:pPr>
    </w:lvl>
    <w:lvl w:ilvl="4">
      <w:numFmt w:val="bullet"/>
      <w:lvlText w:val="•"/>
      <w:lvlJc w:val="left"/>
      <w:pPr>
        <w:ind w:left="4000" w:hanging="361"/>
      </w:pPr>
    </w:lvl>
    <w:lvl w:ilvl="5">
      <w:numFmt w:val="bullet"/>
      <w:lvlText w:val="•"/>
      <w:lvlJc w:val="left"/>
      <w:pPr>
        <w:ind w:left="4800" w:hanging="361"/>
      </w:pPr>
    </w:lvl>
    <w:lvl w:ilvl="6">
      <w:numFmt w:val="bullet"/>
      <w:lvlText w:val="•"/>
      <w:lvlJc w:val="left"/>
      <w:pPr>
        <w:ind w:left="5600" w:hanging="361"/>
      </w:pPr>
    </w:lvl>
    <w:lvl w:ilvl="7">
      <w:numFmt w:val="bullet"/>
      <w:lvlText w:val="•"/>
      <w:lvlJc w:val="left"/>
      <w:pPr>
        <w:ind w:left="6400" w:hanging="361"/>
      </w:pPr>
    </w:lvl>
    <w:lvl w:ilvl="8">
      <w:numFmt w:val="bullet"/>
      <w:lvlText w:val="•"/>
      <w:lvlJc w:val="left"/>
      <w:pPr>
        <w:ind w:left="7200" w:hanging="361"/>
      </w:pPr>
    </w:lvl>
  </w:abstractNum>
  <w:abstractNum w:abstractNumId="1"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2"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D1542"/>
    <w:multiLevelType w:val="multilevel"/>
    <w:tmpl w:val="12FA4EB8"/>
    <w:numStyleLink w:val="URRCList"/>
  </w:abstractNum>
  <w:abstractNum w:abstractNumId="8"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9"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4"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8"/>
  </w:num>
  <w:num w:numId="2">
    <w:abstractNumId w:val="1"/>
  </w:num>
  <w:num w:numId="3">
    <w:abstractNumId w:val="13"/>
  </w:num>
  <w:num w:numId="4">
    <w:abstractNumId w:val="14"/>
  </w:num>
  <w:num w:numId="5">
    <w:abstractNumId w:val="9"/>
  </w:num>
  <w:num w:numId="6">
    <w:abstractNumId w:val="5"/>
  </w:num>
  <w:num w:numId="7">
    <w:abstractNumId w:val="7"/>
  </w:num>
  <w:num w:numId="8">
    <w:abstractNumId w:val="7"/>
  </w:num>
  <w:num w:numId="9">
    <w:abstractNumId w:val="7"/>
  </w:num>
  <w:num w:numId="10">
    <w:abstractNumId w:val="7"/>
  </w:num>
  <w:num w:numId="11">
    <w:abstractNumId w:val="7"/>
  </w:num>
  <w:num w:numId="12">
    <w:abstractNumId w:val="11"/>
  </w:num>
  <w:num w:numId="13">
    <w:abstractNumId w:val="12"/>
  </w:num>
  <w:num w:numId="14">
    <w:abstractNumId w:val="4"/>
  </w:num>
  <w:num w:numId="15">
    <w:abstractNumId w:val="6"/>
  </w:num>
  <w:num w:numId="16">
    <w:abstractNumId w:val="3"/>
  </w:num>
  <w:num w:numId="17">
    <w:abstractNumId w:val="10"/>
  </w:num>
  <w:num w:numId="18">
    <w:abstractNumId w:val="2"/>
  </w:num>
  <w:num w:numId="19">
    <w:abstractNumId w:val="7"/>
  </w:num>
  <w:num w:numId="20">
    <w:abstractNumId w:val="7"/>
  </w:num>
  <w:num w:numId="21">
    <w:abstractNumId w:val="7"/>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9A"/>
    <w:rsid w:val="00001B11"/>
    <w:rsid w:val="00006C1E"/>
    <w:rsid w:val="0000723C"/>
    <w:rsid w:val="000229BB"/>
    <w:rsid w:val="00022C1C"/>
    <w:rsid w:val="00026A03"/>
    <w:rsid w:val="000342A8"/>
    <w:rsid w:val="00034618"/>
    <w:rsid w:val="000357B0"/>
    <w:rsid w:val="000371EE"/>
    <w:rsid w:val="00041196"/>
    <w:rsid w:val="00055670"/>
    <w:rsid w:val="00055A3D"/>
    <w:rsid w:val="00055E53"/>
    <w:rsid w:val="000602DE"/>
    <w:rsid w:val="000718E8"/>
    <w:rsid w:val="00081690"/>
    <w:rsid w:val="00081C5E"/>
    <w:rsid w:val="00083246"/>
    <w:rsid w:val="0008498A"/>
    <w:rsid w:val="000909CA"/>
    <w:rsid w:val="000A3CCB"/>
    <w:rsid w:val="000A4ADC"/>
    <w:rsid w:val="000A5C80"/>
    <w:rsid w:val="000A7395"/>
    <w:rsid w:val="000B63AD"/>
    <w:rsid w:val="000C4822"/>
    <w:rsid w:val="000E0A55"/>
    <w:rsid w:val="000E409A"/>
    <w:rsid w:val="000F13F8"/>
    <w:rsid w:val="001018BD"/>
    <w:rsid w:val="001229A5"/>
    <w:rsid w:val="00124258"/>
    <w:rsid w:val="0012619E"/>
    <w:rsid w:val="0012643F"/>
    <w:rsid w:val="0015060A"/>
    <w:rsid w:val="00155051"/>
    <w:rsid w:val="00161568"/>
    <w:rsid w:val="0016772D"/>
    <w:rsid w:val="00172A40"/>
    <w:rsid w:val="00173181"/>
    <w:rsid w:val="00180E54"/>
    <w:rsid w:val="001A3A40"/>
    <w:rsid w:val="001A7125"/>
    <w:rsid w:val="001B31F6"/>
    <w:rsid w:val="001B44ED"/>
    <w:rsid w:val="001C0DB1"/>
    <w:rsid w:val="001C325E"/>
    <w:rsid w:val="001C608B"/>
    <w:rsid w:val="001D2387"/>
    <w:rsid w:val="001E21FD"/>
    <w:rsid w:val="001F4B60"/>
    <w:rsid w:val="00200CFE"/>
    <w:rsid w:val="00202311"/>
    <w:rsid w:val="002029ED"/>
    <w:rsid w:val="002069D8"/>
    <w:rsid w:val="00207E72"/>
    <w:rsid w:val="002129EA"/>
    <w:rsid w:val="00223EC0"/>
    <w:rsid w:val="00232F8D"/>
    <w:rsid w:val="00235BAA"/>
    <w:rsid w:val="00235F9A"/>
    <w:rsid w:val="002501DC"/>
    <w:rsid w:val="00250813"/>
    <w:rsid w:val="002508A2"/>
    <w:rsid w:val="00255159"/>
    <w:rsid w:val="0025684C"/>
    <w:rsid w:val="0026085B"/>
    <w:rsid w:val="002652C0"/>
    <w:rsid w:val="00266848"/>
    <w:rsid w:val="0026758A"/>
    <w:rsid w:val="00273AC4"/>
    <w:rsid w:val="0028215E"/>
    <w:rsid w:val="00282FB8"/>
    <w:rsid w:val="00290E8E"/>
    <w:rsid w:val="00291A67"/>
    <w:rsid w:val="00292A95"/>
    <w:rsid w:val="002971CC"/>
    <w:rsid w:val="002A4840"/>
    <w:rsid w:val="002B0485"/>
    <w:rsid w:val="002C3536"/>
    <w:rsid w:val="002C6781"/>
    <w:rsid w:val="002E48FC"/>
    <w:rsid w:val="002F073F"/>
    <w:rsid w:val="002F350E"/>
    <w:rsid w:val="00303C2C"/>
    <w:rsid w:val="003140F4"/>
    <w:rsid w:val="00316873"/>
    <w:rsid w:val="00323467"/>
    <w:rsid w:val="003239E4"/>
    <w:rsid w:val="003308CE"/>
    <w:rsid w:val="00334D6C"/>
    <w:rsid w:val="00335B33"/>
    <w:rsid w:val="00337192"/>
    <w:rsid w:val="0033722F"/>
    <w:rsid w:val="003402C7"/>
    <w:rsid w:val="0034712F"/>
    <w:rsid w:val="0034715B"/>
    <w:rsid w:val="003478F9"/>
    <w:rsid w:val="00352311"/>
    <w:rsid w:val="00354CDF"/>
    <w:rsid w:val="003708B6"/>
    <w:rsid w:val="0037595A"/>
    <w:rsid w:val="00396F89"/>
    <w:rsid w:val="003B62B0"/>
    <w:rsid w:val="003C1E67"/>
    <w:rsid w:val="003C235A"/>
    <w:rsid w:val="003C51FD"/>
    <w:rsid w:val="003C5387"/>
    <w:rsid w:val="003D0947"/>
    <w:rsid w:val="003D1DCE"/>
    <w:rsid w:val="003D3633"/>
    <w:rsid w:val="003E0403"/>
    <w:rsid w:val="003E5EDD"/>
    <w:rsid w:val="003E7471"/>
    <w:rsid w:val="003F65B0"/>
    <w:rsid w:val="003F79FA"/>
    <w:rsid w:val="00402645"/>
    <w:rsid w:val="00404601"/>
    <w:rsid w:val="00405C92"/>
    <w:rsid w:val="00407221"/>
    <w:rsid w:val="00410FF2"/>
    <w:rsid w:val="004119AC"/>
    <w:rsid w:val="004238C1"/>
    <w:rsid w:val="00424A44"/>
    <w:rsid w:val="00427D2E"/>
    <w:rsid w:val="00430D74"/>
    <w:rsid w:val="00433A58"/>
    <w:rsid w:val="00434F12"/>
    <w:rsid w:val="00441038"/>
    <w:rsid w:val="004459FE"/>
    <w:rsid w:val="00447188"/>
    <w:rsid w:val="00447B0F"/>
    <w:rsid w:val="00452295"/>
    <w:rsid w:val="00453C53"/>
    <w:rsid w:val="004552CB"/>
    <w:rsid w:val="00464F3D"/>
    <w:rsid w:val="00466316"/>
    <w:rsid w:val="004715C7"/>
    <w:rsid w:val="00492F27"/>
    <w:rsid w:val="00493173"/>
    <w:rsid w:val="004A0B3C"/>
    <w:rsid w:val="004A4780"/>
    <w:rsid w:val="004B7558"/>
    <w:rsid w:val="004D25BE"/>
    <w:rsid w:val="004D7900"/>
    <w:rsid w:val="004D7977"/>
    <w:rsid w:val="004E0F8A"/>
    <w:rsid w:val="004E681A"/>
    <w:rsid w:val="004F238D"/>
    <w:rsid w:val="004F561C"/>
    <w:rsid w:val="00500747"/>
    <w:rsid w:val="00501B49"/>
    <w:rsid w:val="00505682"/>
    <w:rsid w:val="00512B40"/>
    <w:rsid w:val="0051437F"/>
    <w:rsid w:val="00523DEE"/>
    <w:rsid w:val="00526CBA"/>
    <w:rsid w:val="0053245D"/>
    <w:rsid w:val="00536327"/>
    <w:rsid w:val="00543C05"/>
    <w:rsid w:val="00550CB7"/>
    <w:rsid w:val="00551339"/>
    <w:rsid w:val="0056623D"/>
    <w:rsid w:val="00567775"/>
    <w:rsid w:val="005702C5"/>
    <w:rsid w:val="00574174"/>
    <w:rsid w:val="0057626A"/>
    <w:rsid w:val="00577420"/>
    <w:rsid w:val="005A14DA"/>
    <w:rsid w:val="005A478B"/>
    <w:rsid w:val="005B0B3B"/>
    <w:rsid w:val="005B2490"/>
    <w:rsid w:val="005B5D34"/>
    <w:rsid w:val="005C4C6B"/>
    <w:rsid w:val="005C7B24"/>
    <w:rsid w:val="005D64C4"/>
    <w:rsid w:val="005E0E93"/>
    <w:rsid w:val="005E2969"/>
    <w:rsid w:val="005E639F"/>
    <w:rsid w:val="005E6EA0"/>
    <w:rsid w:val="005F4FE5"/>
    <w:rsid w:val="005F71F9"/>
    <w:rsid w:val="005F7A40"/>
    <w:rsid w:val="00603989"/>
    <w:rsid w:val="006043FB"/>
    <w:rsid w:val="0061183C"/>
    <w:rsid w:val="00621DF3"/>
    <w:rsid w:val="00631387"/>
    <w:rsid w:val="00632157"/>
    <w:rsid w:val="00643C64"/>
    <w:rsid w:val="006468F0"/>
    <w:rsid w:val="00652241"/>
    <w:rsid w:val="00652268"/>
    <w:rsid w:val="006534EE"/>
    <w:rsid w:val="00656024"/>
    <w:rsid w:val="00656E50"/>
    <w:rsid w:val="00660FAE"/>
    <w:rsid w:val="00660FD1"/>
    <w:rsid w:val="006611DA"/>
    <w:rsid w:val="00664778"/>
    <w:rsid w:val="00664B9E"/>
    <w:rsid w:val="00667D28"/>
    <w:rsid w:val="006741F0"/>
    <w:rsid w:val="00674435"/>
    <w:rsid w:val="00674E60"/>
    <w:rsid w:val="006824FF"/>
    <w:rsid w:val="00691B2D"/>
    <w:rsid w:val="0069452F"/>
    <w:rsid w:val="00695382"/>
    <w:rsid w:val="006973F2"/>
    <w:rsid w:val="006A3409"/>
    <w:rsid w:val="006A355A"/>
    <w:rsid w:val="006A759F"/>
    <w:rsid w:val="006C35A5"/>
    <w:rsid w:val="006C5279"/>
    <w:rsid w:val="006D3B41"/>
    <w:rsid w:val="006D5E31"/>
    <w:rsid w:val="006D61C5"/>
    <w:rsid w:val="006D6AEB"/>
    <w:rsid w:val="006F0291"/>
    <w:rsid w:val="006F2A01"/>
    <w:rsid w:val="006F418B"/>
    <w:rsid w:val="00701D0D"/>
    <w:rsid w:val="00703983"/>
    <w:rsid w:val="00734DD3"/>
    <w:rsid w:val="00734E8C"/>
    <w:rsid w:val="00746D15"/>
    <w:rsid w:val="007570B4"/>
    <w:rsid w:val="00764593"/>
    <w:rsid w:val="00777203"/>
    <w:rsid w:val="00782183"/>
    <w:rsid w:val="007852DA"/>
    <w:rsid w:val="007A3AAD"/>
    <w:rsid w:val="007C5E0E"/>
    <w:rsid w:val="007C7D0F"/>
    <w:rsid w:val="007D621E"/>
    <w:rsid w:val="007D7FC1"/>
    <w:rsid w:val="00802EA1"/>
    <w:rsid w:val="008040EB"/>
    <w:rsid w:val="008115FF"/>
    <w:rsid w:val="008142F0"/>
    <w:rsid w:val="00814D68"/>
    <w:rsid w:val="0081537E"/>
    <w:rsid w:val="00824B17"/>
    <w:rsid w:val="008258CB"/>
    <w:rsid w:val="0082673F"/>
    <w:rsid w:val="00831521"/>
    <w:rsid w:val="00831AEB"/>
    <w:rsid w:val="0083345B"/>
    <w:rsid w:val="00840074"/>
    <w:rsid w:val="00845184"/>
    <w:rsid w:val="00855899"/>
    <w:rsid w:val="00856A2C"/>
    <w:rsid w:val="00861850"/>
    <w:rsid w:val="00862502"/>
    <w:rsid w:val="00863242"/>
    <w:rsid w:val="00865B46"/>
    <w:rsid w:val="0087060C"/>
    <w:rsid w:val="0087143A"/>
    <w:rsid w:val="00875BF5"/>
    <w:rsid w:val="00885544"/>
    <w:rsid w:val="008918A3"/>
    <w:rsid w:val="00897FDD"/>
    <w:rsid w:val="008A118B"/>
    <w:rsid w:val="008A749F"/>
    <w:rsid w:val="008B322E"/>
    <w:rsid w:val="008B36E1"/>
    <w:rsid w:val="008B7AAC"/>
    <w:rsid w:val="008C2865"/>
    <w:rsid w:val="008C5FBE"/>
    <w:rsid w:val="008D08E9"/>
    <w:rsid w:val="008D4F88"/>
    <w:rsid w:val="008E05D7"/>
    <w:rsid w:val="008E2461"/>
    <w:rsid w:val="008E30DF"/>
    <w:rsid w:val="008E476A"/>
    <w:rsid w:val="008F3D2E"/>
    <w:rsid w:val="00904806"/>
    <w:rsid w:val="00913B48"/>
    <w:rsid w:val="0092440A"/>
    <w:rsid w:val="0093134F"/>
    <w:rsid w:val="009444D3"/>
    <w:rsid w:val="0094673A"/>
    <w:rsid w:val="009527E8"/>
    <w:rsid w:val="0095296F"/>
    <w:rsid w:val="00964CF8"/>
    <w:rsid w:val="00965201"/>
    <w:rsid w:val="00966028"/>
    <w:rsid w:val="009756D9"/>
    <w:rsid w:val="0098073A"/>
    <w:rsid w:val="00980C4E"/>
    <w:rsid w:val="0098695A"/>
    <w:rsid w:val="00993540"/>
    <w:rsid w:val="0099557B"/>
    <w:rsid w:val="00997F68"/>
    <w:rsid w:val="009A0F2A"/>
    <w:rsid w:val="009A35CC"/>
    <w:rsid w:val="009B1B76"/>
    <w:rsid w:val="009D0325"/>
    <w:rsid w:val="009D106A"/>
    <w:rsid w:val="009E4DEB"/>
    <w:rsid w:val="009E6849"/>
    <w:rsid w:val="009F0E31"/>
    <w:rsid w:val="009F5996"/>
    <w:rsid w:val="00A101C9"/>
    <w:rsid w:val="00A155ED"/>
    <w:rsid w:val="00A218D8"/>
    <w:rsid w:val="00A25B00"/>
    <w:rsid w:val="00A340AB"/>
    <w:rsid w:val="00A34CDE"/>
    <w:rsid w:val="00A37080"/>
    <w:rsid w:val="00A410C5"/>
    <w:rsid w:val="00A440C0"/>
    <w:rsid w:val="00A470BC"/>
    <w:rsid w:val="00A722E0"/>
    <w:rsid w:val="00A74437"/>
    <w:rsid w:val="00A826A8"/>
    <w:rsid w:val="00A83DB1"/>
    <w:rsid w:val="00A90951"/>
    <w:rsid w:val="00A92998"/>
    <w:rsid w:val="00A93480"/>
    <w:rsid w:val="00A93C61"/>
    <w:rsid w:val="00A96E2A"/>
    <w:rsid w:val="00AA56AB"/>
    <w:rsid w:val="00AC30AD"/>
    <w:rsid w:val="00AC5451"/>
    <w:rsid w:val="00AD0F64"/>
    <w:rsid w:val="00AD4555"/>
    <w:rsid w:val="00AD69B0"/>
    <w:rsid w:val="00AE51C2"/>
    <w:rsid w:val="00AE6869"/>
    <w:rsid w:val="00B0050F"/>
    <w:rsid w:val="00B0083D"/>
    <w:rsid w:val="00B105A4"/>
    <w:rsid w:val="00B1290D"/>
    <w:rsid w:val="00B23850"/>
    <w:rsid w:val="00B348FA"/>
    <w:rsid w:val="00B3629F"/>
    <w:rsid w:val="00B434B0"/>
    <w:rsid w:val="00B472DD"/>
    <w:rsid w:val="00B50202"/>
    <w:rsid w:val="00B512E6"/>
    <w:rsid w:val="00B528DC"/>
    <w:rsid w:val="00B57C9D"/>
    <w:rsid w:val="00B64140"/>
    <w:rsid w:val="00B717B4"/>
    <w:rsid w:val="00B75FEB"/>
    <w:rsid w:val="00B856F3"/>
    <w:rsid w:val="00B875F1"/>
    <w:rsid w:val="00B940B3"/>
    <w:rsid w:val="00B95FE8"/>
    <w:rsid w:val="00B967C5"/>
    <w:rsid w:val="00BA37E0"/>
    <w:rsid w:val="00BA6264"/>
    <w:rsid w:val="00BA7C99"/>
    <w:rsid w:val="00BB09D5"/>
    <w:rsid w:val="00BB380E"/>
    <w:rsid w:val="00BB4349"/>
    <w:rsid w:val="00BC0672"/>
    <w:rsid w:val="00BC187A"/>
    <w:rsid w:val="00BC1B0B"/>
    <w:rsid w:val="00BC32CD"/>
    <w:rsid w:val="00BC474E"/>
    <w:rsid w:val="00BD0923"/>
    <w:rsid w:val="00BE5D1E"/>
    <w:rsid w:val="00BF0BB3"/>
    <w:rsid w:val="00BF244B"/>
    <w:rsid w:val="00BF3D8E"/>
    <w:rsid w:val="00BF4336"/>
    <w:rsid w:val="00BF7AB7"/>
    <w:rsid w:val="00C0030A"/>
    <w:rsid w:val="00C05C83"/>
    <w:rsid w:val="00C10E03"/>
    <w:rsid w:val="00C15581"/>
    <w:rsid w:val="00C203E0"/>
    <w:rsid w:val="00C245B8"/>
    <w:rsid w:val="00C24DEB"/>
    <w:rsid w:val="00C35C44"/>
    <w:rsid w:val="00C411F9"/>
    <w:rsid w:val="00C4240C"/>
    <w:rsid w:val="00C56FE1"/>
    <w:rsid w:val="00C622A2"/>
    <w:rsid w:val="00C646F1"/>
    <w:rsid w:val="00C667FC"/>
    <w:rsid w:val="00C70E1E"/>
    <w:rsid w:val="00C849C1"/>
    <w:rsid w:val="00C946A2"/>
    <w:rsid w:val="00C956F6"/>
    <w:rsid w:val="00CA103B"/>
    <w:rsid w:val="00CA16FB"/>
    <w:rsid w:val="00CB0DC5"/>
    <w:rsid w:val="00CB2C6A"/>
    <w:rsid w:val="00CB4C30"/>
    <w:rsid w:val="00CC00CF"/>
    <w:rsid w:val="00CD3C29"/>
    <w:rsid w:val="00CD6B0B"/>
    <w:rsid w:val="00CE3A67"/>
    <w:rsid w:val="00CE7A0E"/>
    <w:rsid w:val="00CF1E89"/>
    <w:rsid w:val="00CF5E12"/>
    <w:rsid w:val="00D02D2F"/>
    <w:rsid w:val="00D0613A"/>
    <w:rsid w:val="00D10FE9"/>
    <w:rsid w:val="00D20AF9"/>
    <w:rsid w:val="00D26EEC"/>
    <w:rsid w:val="00D274AE"/>
    <w:rsid w:val="00D32FEB"/>
    <w:rsid w:val="00D338C1"/>
    <w:rsid w:val="00D34D58"/>
    <w:rsid w:val="00D37197"/>
    <w:rsid w:val="00D372C7"/>
    <w:rsid w:val="00D377A4"/>
    <w:rsid w:val="00D40E91"/>
    <w:rsid w:val="00D448B2"/>
    <w:rsid w:val="00D45D63"/>
    <w:rsid w:val="00D47E5E"/>
    <w:rsid w:val="00D576F9"/>
    <w:rsid w:val="00D6423D"/>
    <w:rsid w:val="00D75034"/>
    <w:rsid w:val="00D75DDD"/>
    <w:rsid w:val="00D779B6"/>
    <w:rsid w:val="00D77FC0"/>
    <w:rsid w:val="00D80628"/>
    <w:rsid w:val="00D825DE"/>
    <w:rsid w:val="00D85A30"/>
    <w:rsid w:val="00D96DBB"/>
    <w:rsid w:val="00DA5AAA"/>
    <w:rsid w:val="00DA6A9F"/>
    <w:rsid w:val="00DB40FA"/>
    <w:rsid w:val="00DD46F3"/>
    <w:rsid w:val="00DD66A5"/>
    <w:rsid w:val="00DE0CAE"/>
    <w:rsid w:val="00DE125E"/>
    <w:rsid w:val="00DE6249"/>
    <w:rsid w:val="00E04190"/>
    <w:rsid w:val="00E10A1A"/>
    <w:rsid w:val="00E24178"/>
    <w:rsid w:val="00E27734"/>
    <w:rsid w:val="00E27F52"/>
    <w:rsid w:val="00E30FD0"/>
    <w:rsid w:val="00E32507"/>
    <w:rsid w:val="00E34D79"/>
    <w:rsid w:val="00E41C1E"/>
    <w:rsid w:val="00E41F96"/>
    <w:rsid w:val="00E43C8E"/>
    <w:rsid w:val="00E527EA"/>
    <w:rsid w:val="00E53149"/>
    <w:rsid w:val="00E56126"/>
    <w:rsid w:val="00E6041C"/>
    <w:rsid w:val="00E63885"/>
    <w:rsid w:val="00E64A35"/>
    <w:rsid w:val="00E713EE"/>
    <w:rsid w:val="00E811FC"/>
    <w:rsid w:val="00E87B21"/>
    <w:rsid w:val="00E90AA1"/>
    <w:rsid w:val="00E952B9"/>
    <w:rsid w:val="00EA6680"/>
    <w:rsid w:val="00EB1142"/>
    <w:rsid w:val="00EB459A"/>
    <w:rsid w:val="00EB524D"/>
    <w:rsid w:val="00EB7EAB"/>
    <w:rsid w:val="00EC24A3"/>
    <w:rsid w:val="00EC3632"/>
    <w:rsid w:val="00EC436E"/>
    <w:rsid w:val="00EC5408"/>
    <w:rsid w:val="00EC60B2"/>
    <w:rsid w:val="00EC7006"/>
    <w:rsid w:val="00ED46AB"/>
    <w:rsid w:val="00EE0800"/>
    <w:rsid w:val="00EE0C4E"/>
    <w:rsid w:val="00EE0EE2"/>
    <w:rsid w:val="00EE27DF"/>
    <w:rsid w:val="00EE2FB8"/>
    <w:rsid w:val="00EE7ADB"/>
    <w:rsid w:val="00F02E0A"/>
    <w:rsid w:val="00F10771"/>
    <w:rsid w:val="00F16514"/>
    <w:rsid w:val="00F16521"/>
    <w:rsid w:val="00F17BA1"/>
    <w:rsid w:val="00F20960"/>
    <w:rsid w:val="00F20E25"/>
    <w:rsid w:val="00F30EE9"/>
    <w:rsid w:val="00F3117F"/>
    <w:rsid w:val="00F3334C"/>
    <w:rsid w:val="00F37068"/>
    <w:rsid w:val="00F45A2A"/>
    <w:rsid w:val="00F462E0"/>
    <w:rsid w:val="00F469C5"/>
    <w:rsid w:val="00F4727B"/>
    <w:rsid w:val="00F508FD"/>
    <w:rsid w:val="00F513E7"/>
    <w:rsid w:val="00F56135"/>
    <w:rsid w:val="00F722B2"/>
    <w:rsid w:val="00F77080"/>
    <w:rsid w:val="00F77E84"/>
    <w:rsid w:val="00F82D6C"/>
    <w:rsid w:val="00F919CB"/>
    <w:rsid w:val="00F94481"/>
    <w:rsid w:val="00FB0C4E"/>
    <w:rsid w:val="00FC24C2"/>
    <w:rsid w:val="00FC37D8"/>
    <w:rsid w:val="00FC5459"/>
    <w:rsid w:val="00FC75A7"/>
    <w:rsid w:val="00FC7D87"/>
    <w:rsid w:val="00FD16BF"/>
    <w:rsid w:val="00FE3199"/>
    <w:rsid w:val="00FE3315"/>
    <w:rsid w:val="00FE348E"/>
    <w:rsid w:val="00FE505D"/>
    <w:rsid w:val="00FE7A29"/>
    <w:rsid w:val="00FF0B68"/>
    <w:rsid w:val="00FF2984"/>
    <w:rsid w:val="00FF49F4"/>
    <w:rsid w:val="00FF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780AE750-332F-3840-BC70-B9B953B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unhideWhenUsed/>
    <w:rsid w:val="00C646F1"/>
    <w:rPr>
      <w:sz w:val="20"/>
      <w:szCs w:val="20"/>
    </w:rPr>
  </w:style>
  <w:style w:type="character" w:customStyle="1" w:styleId="CommentTextChar">
    <w:name w:val="Comment Text Char"/>
    <w:basedOn w:val="DefaultParagraphFont"/>
    <w:link w:val="CommentText"/>
    <w:uiPriority w:val="99"/>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290E8E"/>
    <w:pPr>
      <w:numPr>
        <w:numId w:val="7"/>
      </w:numPr>
      <w:pBdr>
        <w:top w:val="nil"/>
        <w:left w:val="nil"/>
        <w:bottom w:val="nil"/>
        <w:right w:val="nil"/>
        <w:between w:val="nil"/>
      </w:pBdr>
      <w:autoSpaceDE/>
      <w:autoSpaceDN/>
      <w:spacing w:before="7"/>
      <w:outlineLvl w:val="0"/>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FC92-7003-43A7-9BDE-CFAF3A86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4194</Words>
  <Characters>23907</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dcterms:created xsi:type="dcterms:W3CDTF">2024-03-05T18:43:00Z</dcterms:created>
  <dcterms:modified xsi:type="dcterms:W3CDTF">2024-03-05T18:43:00Z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